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3D8D5">
      <w:pPr>
        <w:spacing w:line="360" w:lineRule="auto"/>
        <w:jc w:val="center"/>
        <w:rPr>
          <w:rFonts w:eastAsia="黑体"/>
          <w:sz w:val="44"/>
          <w:szCs w:val="44"/>
        </w:rPr>
      </w:pPr>
      <w:bookmarkStart w:id="0" w:name="OLE_LINK141"/>
      <w:bookmarkStart w:id="1" w:name="OLE_LINK142"/>
    </w:p>
    <w:p w14:paraId="3499EB0B">
      <w:pPr>
        <w:spacing w:line="360" w:lineRule="auto"/>
        <w:jc w:val="center"/>
        <w:rPr>
          <w:rFonts w:eastAsia="黑体"/>
          <w:sz w:val="44"/>
          <w:szCs w:val="44"/>
        </w:rPr>
      </w:pPr>
    </w:p>
    <w:p w14:paraId="0BE26CF3">
      <w:pPr>
        <w:spacing w:after="312" w:afterLines="100" w:line="360" w:lineRule="auto"/>
        <w:jc w:val="center"/>
        <w:rPr>
          <w:rFonts w:eastAsia="黑体"/>
          <w:sz w:val="44"/>
          <w:szCs w:val="44"/>
        </w:rPr>
      </w:pPr>
      <w:r>
        <w:rPr>
          <w:rFonts w:hint="eastAsia" w:eastAsia="黑体"/>
          <w:sz w:val="44"/>
          <w:szCs w:val="44"/>
        </w:rPr>
        <w:t>国家计量检定规程</w:t>
      </w:r>
    </w:p>
    <w:bookmarkEnd w:id="0"/>
    <w:bookmarkEnd w:id="1"/>
    <w:p w14:paraId="2BFB850F">
      <w:pPr>
        <w:spacing w:line="360" w:lineRule="auto"/>
        <w:jc w:val="center"/>
        <w:rPr>
          <w:rFonts w:eastAsia="黑体"/>
          <w:sz w:val="36"/>
          <w:szCs w:val="36"/>
        </w:rPr>
      </w:pPr>
      <w:r>
        <w:rPr>
          <w:rFonts w:eastAsia="黑体"/>
          <w:sz w:val="36"/>
          <w:szCs w:val="36"/>
        </w:rPr>
        <w:t>《</w:t>
      </w:r>
      <w:r>
        <w:rPr>
          <w:rFonts w:hint="eastAsia" w:eastAsia="黑体"/>
          <w:sz w:val="36"/>
          <w:szCs w:val="36"/>
        </w:rPr>
        <w:t>工频高压分压器检定规程</w:t>
      </w:r>
      <w:r>
        <w:rPr>
          <w:rFonts w:eastAsia="黑体"/>
          <w:sz w:val="36"/>
          <w:szCs w:val="36"/>
        </w:rPr>
        <w:t>》</w:t>
      </w:r>
    </w:p>
    <w:p w14:paraId="7F329E5B">
      <w:pPr>
        <w:spacing w:line="360" w:lineRule="auto"/>
        <w:jc w:val="center"/>
        <w:rPr>
          <w:rFonts w:eastAsia="黑体"/>
          <w:sz w:val="44"/>
          <w:szCs w:val="44"/>
        </w:rPr>
      </w:pPr>
    </w:p>
    <w:p w14:paraId="5B41A24D">
      <w:pPr>
        <w:spacing w:line="360" w:lineRule="auto"/>
        <w:jc w:val="center"/>
        <w:rPr>
          <w:rFonts w:eastAsia="黑体"/>
          <w:sz w:val="44"/>
          <w:szCs w:val="44"/>
        </w:rPr>
      </w:pPr>
    </w:p>
    <w:p w14:paraId="5BE1B777">
      <w:pPr>
        <w:spacing w:line="360" w:lineRule="auto"/>
        <w:jc w:val="center"/>
        <w:rPr>
          <w:rFonts w:eastAsia="黑体"/>
          <w:sz w:val="44"/>
          <w:szCs w:val="44"/>
        </w:rPr>
      </w:pPr>
      <w:r>
        <w:rPr>
          <w:rFonts w:eastAsia="黑体"/>
          <w:sz w:val="44"/>
          <w:szCs w:val="44"/>
        </w:rPr>
        <w:t>调</w:t>
      </w:r>
      <w:r>
        <w:rPr>
          <w:rFonts w:hint="eastAsia" w:eastAsia="黑体"/>
          <w:sz w:val="44"/>
          <w:szCs w:val="44"/>
        </w:rPr>
        <w:t xml:space="preserve"> </w:t>
      </w:r>
      <w:r>
        <w:rPr>
          <w:rFonts w:eastAsia="黑体"/>
          <w:sz w:val="44"/>
          <w:szCs w:val="44"/>
        </w:rPr>
        <w:t>研</w:t>
      </w:r>
      <w:r>
        <w:rPr>
          <w:rFonts w:hint="eastAsia" w:eastAsia="黑体"/>
          <w:sz w:val="44"/>
          <w:szCs w:val="44"/>
        </w:rPr>
        <w:t xml:space="preserve"> </w:t>
      </w:r>
      <w:r>
        <w:rPr>
          <w:rFonts w:eastAsia="黑体"/>
          <w:sz w:val="44"/>
          <w:szCs w:val="44"/>
        </w:rPr>
        <w:t>报</w:t>
      </w:r>
      <w:r>
        <w:rPr>
          <w:rFonts w:hint="eastAsia" w:eastAsia="黑体"/>
          <w:sz w:val="44"/>
          <w:szCs w:val="44"/>
        </w:rPr>
        <w:t xml:space="preserve"> </w:t>
      </w:r>
      <w:r>
        <w:rPr>
          <w:rFonts w:eastAsia="黑体"/>
          <w:sz w:val="44"/>
          <w:szCs w:val="44"/>
        </w:rPr>
        <w:t>告</w:t>
      </w:r>
    </w:p>
    <w:p w14:paraId="7D483D3F">
      <w:pPr>
        <w:spacing w:line="360" w:lineRule="auto"/>
        <w:jc w:val="center"/>
        <w:rPr>
          <w:rFonts w:eastAsia="黑体"/>
          <w:sz w:val="36"/>
          <w:szCs w:val="28"/>
        </w:rPr>
      </w:pPr>
    </w:p>
    <w:p w14:paraId="5762A51A">
      <w:pPr>
        <w:spacing w:line="360" w:lineRule="auto"/>
        <w:jc w:val="center"/>
        <w:rPr>
          <w:rFonts w:eastAsia="黑体"/>
          <w:sz w:val="36"/>
          <w:szCs w:val="28"/>
        </w:rPr>
      </w:pPr>
    </w:p>
    <w:p w14:paraId="7E64C32A">
      <w:pPr>
        <w:spacing w:line="360" w:lineRule="auto"/>
        <w:jc w:val="center"/>
        <w:rPr>
          <w:rFonts w:eastAsia="黑体"/>
          <w:sz w:val="36"/>
          <w:szCs w:val="28"/>
        </w:rPr>
      </w:pPr>
    </w:p>
    <w:p w14:paraId="7AA01199">
      <w:pPr>
        <w:spacing w:line="360" w:lineRule="auto"/>
        <w:jc w:val="center"/>
        <w:rPr>
          <w:rFonts w:eastAsia="黑体"/>
          <w:sz w:val="36"/>
          <w:szCs w:val="28"/>
        </w:rPr>
      </w:pPr>
    </w:p>
    <w:p w14:paraId="00EB8E36">
      <w:pPr>
        <w:spacing w:line="360" w:lineRule="auto"/>
        <w:jc w:val="center"/>
        <w:rPr>
          <w:rFonts w:eastAsia="黑体"/>
          <w:sz w:val="36"/>
          <w:szCs w:val="28"/>
        </w:rPr>
      </w:pPr>
    </w:p>
    <w:p w14:paraId="1A7A480A">
      <w:pPr>
        <w:spacing w:line="360" w:lineRule="auto"/>
        <w:jc w:val="center"/>
        <w:rPr>
          <w:rFonts w:eastAsia="黑体"/>
          <w:sz w:val="36"/>
          <w:szCs w:val="28"/>
        </w:rPr>
      </w:pPr>
    </w:p>
    <w:p w14:paraId="69D017C9">
      <w:pPr>
        <w:spacing w:line="360" w:lineRule="auto"/>
        <w:jc w:val="center"/>
        <w:rPr>
          <w:rFonts w:eastAsia="黑体"/>
          <w:sz w:val="36"/>
          <w:szCs w:val="28"/>
        </w:rPr>
      </w:pPr>
    </w:p>
    <w:p w14:paraId="6F2D67F0">
      <w:pPr>
        <w:spacing w:line="360" w:lineRule="auto"/>
        <w:jc w:val="center"/>
        <w:rPr>
          <w:rFonts w:eastAsia="黑体"/>
          <w:sz w:val="36"/>
          <w:szCs w:val="28"/>
        </w:rPr>
      </w:pPr>
    </w:p>
    <w:p w14:paraId="3530422B">
      <w:pPr>
        <w:spacing w:line="360" w:lineRule="auto"/>
        <w:jc w:val="center"/>
        <w:rPr>
          <w:rFonts w:eastAsia="黑体"/>
          <w:sz w:val="36"/>
          <w:szCs w:val="28"/>
        </w:rPr>
      </w:pPr>
    </w:p>
    <w:p w14:paraId="0B5200EF">
      <w:pPr>
        <w:spacing w:line="360" w:lineRule="auto"/>
        <w:jc w:val="center"/>
        <w:rPr>
          <w:rFonts w:eastAsia="黑体"/>
          <w:sz w:val="36"/>
          <w:szCs w:val="28"/>
        </w:rPr>
      </w:pPr>
    </w:p>
    <w:p w14:paraId="3BF94DEF">
      <w:pPr>
        <w:spacing w:line="360" w:lineRule="auto"/>
        <w:jc w:val="center"/>
        <w:rPr>
          <w:rFonts w:eastAsia="黑体"/>
          <w:sz w:val="36"/>
          <w:szCs w:val="28"/>
        </w:rPr>
      </w:pPr>
    </w:p>
    <w:p w14:paraId="4DD174FB">
      <w:pPr>
        <w:spacing w:line="460" w:lineRule="exact"/>
        <w:jc w:val="center"/>
        <w:rPr>
          <w:rFonts w:eastAsia="黑体"/>
          <w:sz w:val="32"/>
          <w:szCs w:val="32"/>
        </w:rPr>
      </w:pPr>
      <w:r>
        <w:rPr>
          <w:rFonts w:hint="eastAsia" w:eastAsia="黑体"/>
          <w:sz w:val="32"/>
          <w:szCs w:val="32"/>
        </w:rPr>
        <w:t>起草</w:t>
      </w:r>
      <w:r>
        <w:rPr>
          <w:rFonts w:eastAsia="黑体"/>
          <w:sz w:val="32"/>
          <w:szCs w:val="32"/>
        </w:rPr>
        <w:t>工作组</w:t>
      </w:r>
    </w:p>
    <w:p w14:paraId="40499BD8">
      <w:pPr>
        <w:spacing w:line="460" w:lineRule="exact"/>
        <w:jc w:val="center"/>
        <w:rPr>
          <w:rFonts w:eastAsia="黑体"/>
          <w:sz w:val="32"/>
          <w:szCs w:val="32"/>
        </w:rPr>
      </w:pPr>
    </w:p>
    <w:p w14:paraId="7CB8505A">
      <w:pPr>
        <w:jc w:val="center"/>
        <w:rPr>
          <w:rFonts w:eastAsia="黑体"/>
          <w:sz w:val="32"/>
          <w:szCs w:val="32"/>
        </w:rPr>
      </w:pPr>
      <w:r>
        <w:rPr>
          <w:rFonts w:eastAsia="黑体"/>
          <w:sz w:val="32"/>
          <w:szCs w:val="32"/>
        </w:rPr>
        <w:t>202</w:t>
      </w:r>
      <w:r>
        <w:rPr>
          <w:rFonts w:hint="eastAsia" w:eastAsia="黑体"/>
          <w:sz w:val="32"/>
          <w:szCs w:val="32"/>
        </w:rPr>
        <w:t>5</w:t>
      </w:r>
      <w:r>
        <w:rPr>
          <w:rFonts w:eastAsia="黑体"/>
          <w:sz w:val="32"/>
          <w:szCs w:val="32"/>
        </w:rPr>
        <w:t>年</w:t>
      </w:r>
      <w:r>
        <w:rPr>
          <w:rFonts w:hint="eastAsia" w:eastAsia="黑体"/>
          <w:sz w:val="32"/>
          <w:szCs w:val="32"/>
        </w:rPr>
        <w:t>12</w:t>
      </w:r>
      <w:r>
        <w:rPr>
          <w:rFonts w:eastAsia="黑体"/>
          <w:sz w:val="32"/>
          <w:szCs w:val="32"/>
        </w:rPr>
        <w:t>月</w:t>
      </w:r>
    </w:p>
    <w:p w14:paraId="2E1FDF04">
      <w:pPr>
        <w:jc w:val="center"/>
        <w:rPr>
          <w:rFonts w:eastAsia="黑体"/>
          <w:sz w:val="32"/>
          <w:szCs w:val="32"/>
        </w:rPr>
      </w:pPr>
      <w:r>
        <w:rPr>
          <w:rFonts w:eastAsia="黑体"/>
          <w:sz w:val="32"/>
          <w:szCs w:val="32"/>
        </w:rPr>
        <w:br w:type="page"/>
      </w:r>
    </w:p>
    <w:p w14:paraId="68C64D75"/>
    <w:sdt>
      <w:sdtPr>
        <w:rPr>
          <w:rFonts w:ascii="宋体" w:hAnsi="宋体"/>
          <w:b/>
          <w:bCs/>
          <w:sz w:val="44"/>
          <w:szCs w:val="44"/>
        </w:rPr>
        <w:id w:val="147460561"/>
        <w15:color w:val="DBDBDB"/>
        <w:docPartObj>
          <w:docPartGallery w:val="Table of Contents"/>
          <w:docPartUnique/>
        </w:docPartObj>
      </w:sdtPr>
      <w:sdtEndPr>
        <w:rPr>
          <w:rFonts w:ascii="宋体" w:hAnsi="宋体"/>
          <w:b/>
          <w:bCs/>
          <w:sz w:val="21"/>
          <w:szCs w:val="24"/>
        </w:rPr>
      </w:sdtEndPr>
      <w:sdtContent>
        <w:p w14:paraId="717FEB57">
          <w:pPr>
            <w:jc w:val="center"/>
            <w:rPr>
              <w:b/>
              <w:bCs/>
              <w:sz w:val="44"/>
              <w:szCs w:val="44"/>
            </w:rPr>
          </w:pPr>
          <w:r>
            <w:rPr>
              <w:rFonts w:hint="eastAsia" w:ascii="黑体" w:hAnsi="黑体" w:eastAsia="黑体" w:cs="黑体"/>
              <w:b/>
              <w:bCs/>
              <w:sz w:val="44"/>
              <w:szCs w:val="44"/>
            </w:rPr>
            <w:t>目录</w:t>
          </w:r>
        </w:p>
        <w:p w14:paraId="193A1663">
          <w:pPr>
            <w:pStyle w:val="11"/>
            <w:tabs>
              <w:tab w:val="right" w:leader="dot" w:pos="8306"/>
            </w:tabs>
            <w:spacing w:line="360" w:lineRule="auto"/>
            <w:rPr>
              <w:sz w:val="28"/>
              <w:szCs w:val="28"/>
            </w:rPr>
          </w:pPr>
          <w:r>
            <w:rPr>
              <w:sz w:val="28"/>
              <w:szCs w:val="28"/>
            </w:rPr>
            <w:fldChar w:fldCharType="begin"/>
          </w:r>
          <w:r>
            <w:rPr>
              <w:sz w:val="28"/>
              <w:szCs w:val="28"/>
            </w:rPr>
            <w:instrText xml:space="preserve">TOC \o "1-9" \h \u </w:instrText>
          </w:r>
          <w:r>
            <w:rPr>
              <w:sz w:val="28"/>
              <w:szCs w:val="28"/>
            </w:rPr>
            <w:fldChar w:fldCharType="separate"/>
          </w:r>
          <w:r>
            <w:fldChar w:fldCharType="begin"/>
          </w:r>
          <w:r>
            <w:instrText xml:space="preserve"> HYPERLINK \l "_Toc30342" </w:instrText>
          </w:r>
          <w:r>
            <w:fldChar w:fldCharType="separate"/>
          </w:r>
          <w:r>
            <w:rPr>
              <w:sz w:val="28"/>
              <w:szCs w:val="28"/>
            </w:rPr>
            <w:t>一、调研背景</w:t>
          </w:r>
          <w:r>
            <w:rPr>
              <w:sz w:val="28"/>
              <w:szCs w:val="28"/>
            </w:rPr>
            <w:tab/>
          </w:r>
          <w:r>
            <w:rPr>
              <w:sz w:val="28"/>
              <w:szCs w:val="28"/>
            </w:rPr>
            <w:fldChar w:fldCharType="begin"/>
          </w:r>
          <w:r>
            <w:rPr>
              <w:sz w:val="28"/>
              <w:szCs w:val="28"/>
            </w:rPr>
            <w:instrText xml:space="preserve"> PAGEREF _Toc30342 \h </w:instrText>
          </w:r>
          <w:r>
            <w:rPr>
              <w:sz w:val="28"/>
              <w:szCs w:val="28"/>
            </w:rPr>
            <w:fldChar w:fldCharType="separate"/>
          </w:r>
          <w:r>
            <w:rPr>
              <w:sz w:val="28"/>
              <w:szCs w:val="28"/>
            </w:rPr>
            <w:t>1</w:t>
          </w:r>
          <w:r>
            <w:rPr>
              <w:sz w:val="28"/>
              <w:szCs w:val="28"/>
            </w:rPr>
            <w:fldChar w:fldCharType="end"/>
          </w:r>
          <w:r>
            <w:rPr>
              <w:sz w:val="28"/>
              <w:szCs w:val="28"/>
            </w:rPr>
            <w:fldChar w:fldCharType="end"/>
          </w:r>
        </w:p>
        <w:p w14:paraId="1B8C3626">
          <w:pPr>
            <w:pStyle w:val="11"/>
            <w:tabs>
              <w:tab w:val="right" w:leader="dot" w:pos="8306"/>
            </w:tabs>
            <w:spacing w:line="360" w:lineRule="auto"/>
            <w:rPr>
              <w:sz w:val="28"/>
              <w:szCs w:val="28"/>
            </w:rPr>
          </w:pPr>
          <w:r>
            <w:fldChar w:fldCharType="begin"/>
          </w:r>
          <w:r>
            <w:instrText xml:space="preserve"> HYPERLINK \l "_Toc27770" </w:instrText>
          </w:r>
          <w:r>
            <w:fldChar w:fldCharType="separate"/>
          </w:r>
          <w:r>
            <w:rPr>
              <w:sz w:val="28"/>
              <w:szCs w:val="28"/>
            </w:rPr>
            <w:t>二、调研目的</w:t>
          </w:r>
          <w:r>
            <w:rPr>
              <w:sz w:val="28"/>
              <w:szCs w:val="28"/>
            </w:rPr>
            <w:tab/>
          </w:r>
          <w:r>
            <w:rPr>
              <w:sz w:val="28"/>
              <w:szCs w:val="28"/>
            </w:rPr>
            <w:fldChar w:fldCharType="begin"/>
          </w:r>
          <w:r>
            <w:rPr>
              <w:sz w:val="28"/>
              <w:szCs w:val="28"/>
            </w:rPr>
            <w:instrText xml:space="preserve"> PAGEREF _Toc27770 \h </w:instrText>
          </w:r>
          <w:r>
            <w:rPr>
              <w:sz w:val="28"/>
              <w:szCs w:val="28"/>
            </w:rPr>
            <w:fldChar w:fldCharType="separate"/>
          </w:r>
          <w:r>
            <w:rPr>
              <w:sz w:val="28"/>
              <w:szCs w:val="28"/>
            </w:rPr>
            <w:t>1</w:t>
          </w:r>
          <w:r>
            <w:rPr>
              <w:sz w:val="28"/>
              <w:szCs w:val="28"/>
            </w:rPr>
            <w:fldChar w:fldCharType="end"/>
          </w:r>
          <w:r>
            <w:rPr>
              <w:sz w:val="28"/>
              <w:szCs w:val="28"/>
            </w:rPr>
            <w:fldChar w:fldCharType="end"/>
          </w:r>
        </w:p>
        <w:p w14:paraId="797326C0">
          <w:pPr>
            <w:pStyle w:val="11"/>
            <w:tabs>
              <w:tab w:val="right" w:leader="dot" w:pos="8306"/>
            </w:tabs>
            <w:spacing w:line="360" w:lineRule="auto"/>
            <w:rPr>
              <w:sz w:val="28"/>
              <w:szCs w:val="28"/>
            </w:rPr>
          </w:pPr>
          <w:r>
            <w:fldChar w:fldCharType="begin"/>
          </w:r>
          <w:r>
            <w:instrText xml:space="preserve"> HYPERLINK \l "_Toc1735" </w:instrText>
          </w:r>
          <w:r>
            <w:fldChar w:fldCharType="separate"/>
          </w:r>
          <w:r>
            <w:rPr>
              <w:sz w:val="28"/>
              <w:szCs w:val="28"/>
            </w:rPr>
            <w:t>三、调研内容</w:t>
          </w:r>
          <w:r>
            <w:rPr>
              <w:sz w:val="28"/>
              <w:szCs w:val="28"/>
            </w:rPr>
            <w:tab/>
          </w:r>
          <w:r>
            <w:rPr>
              <w:sz w:val="28"/>
              <w:szCs w:val="28"/>
            </w:rPr>
            <w:fldChar w:fldCharType="begin"/>
          </w:r>
          <w:r>
            <w:rPr>
              <w:sz w:val="28"/>
              <w:szCs w:val="28"/>
            </w:rPr>
            <w:instrText xml:space="preserve"> PAGEREF _Toc1735 \h </w:instrText>
          </w:r>
          <w:r>
            <w:rPr>
              <w:sz w:val="28"/>
              <w:szCs w:val="28"/>
            </w:rPr>
            <w:fldChar w:fldCharType="separate"/>
          </w:r>
          <w:r>
            <w:rPr>
              <w:sz w:val="28"/>
              <w:szCs w:val="28"/>
            </w:rPr>
            <w:t>1</w:t>
          </w:r>
          <w:r>
            <w:rPr>
              <w:sz w:val="28"/>
              <w:szCs w:val="28"/>
            </w:rPr>
            <w:fldChar w:fldCharType="end"/>
          </w:r>
          <w:r>
            <w:rPr>
              <w:sz w:val="28"/>
              <w:szCs w:val="28"/>
            </w:rPr>
            <w:fldChar w:fldCharType="end"/>
          </w:r>
        </w:p>
        <w:p w14:paraId="14360B49">
          <w:pPr>
            <w:pStyle w:val="11"/>
            <w:tabs>
              <w:tab w:val="right" w:leader="dot" w:pos="8306"/>
            </w:tabs>
            <w:spacing w:line="360" w:lineRule="auto"/>
            <w:rPr>
              <w:sz w:val="28"/>
              <w:szCs w:val="28"/>
            </w:rPr>
          </w:pPr>
          <w:r>
            <w:fldChar w:fldCharType="begin"/>
          </w:r>
          <w:r>
            <w:instrText xml:space="preserve"> HYPERLINK \l "_Toc30805" </w:instrText>
          </w:r>
          <w:r>
            <w:fldChar w:fldCharType="separate"/>
          </w:r>
          <w:r>
            <w:rPr>
              <w:rFonts w:hint="eastAsia"/>
              <w:sz w:val="28"/>
              <w:szCs w:val="28"/>
            </w:rPr>
            <w:t>四、</w:t>
          </w:r>
          <w:r>
            <w:rPr>
              <w:sz w:val="28"/>
              <w:szCs w:val="28"/>
            </w:rPr>
            <w:t>调研情况</w:t>
          </w:r>
          <w:r>
            <w:rPr>
              <w:sz w:val="28"/>
              <w:szCs w:val="28"/>
            </w:rPr>
            <w:tab/>
          </w:r>
          <w:r>
            <w:rPr>
              <w:sz w:val="28"/>
              <w:szCs w:val="28"/>
            </w:rPr>
            <w:fldChar w:fldCharType="begin"/>
          </w:r>
          <w:r>
            <w:rPr>
              <w:sz w:val="28"/>
              <w:szCs w:val="28"/>
            </w:rPr>
            <w:instrText xml:space="preserve"> PAGEREF _Toc30805 \h </w:instrText>
          </w:r>
          <w:r>
            <w:rPr>
              <w:sz w:val="28"/>
              <w:szCs w:val="28"/>
            </w:rPr>
            <w:fldChar w:fldCharType="separate"/>
          </w:r>
          <w:r>
            <w:rPr>
              <w:sz w:val="28"/>
              <w:szCs w:val="28"/>
            </w:rPr>
            <w:t>2</w:t>
          </w:r>
          <w:r>
            <w:rPr>
              <w:sz w:val="28"/>
              <w:szCs w:val="28"/>
            </w:rPr>
            <w:fldChar w:fldCharType="end"/>
          </w:r>
          <w:r>
            <w:rPr>
              <w:sz w:val="28"/>
              <w:szCs w:val="28"/>
            </w:rPr>
            <w:fldChar w:fldCharType="end"/>
          </w:r>
        </w:p>
        <w:p w14:paraId="114120BA">
          <w:pPr>
            <w:pStyle w:val="11"/>
            <w:tabs>
              <w:tab w:val="right" w:leader="dot" w:pos="8306"/>
            </w:tabs>
            <w:spacing w:line="360" w:lineRule="auto"/>
            <w:rPr>
              <w:sz w:val="28"/>
              <w:szCs w:val="28"/>
            </w:rPr>
          </w:pPr>
          <w:r>
            <w:fldChar w:fldCharType="begin"/>
          </w:r>
          <w:r>
            <w:instrText xml:space="preserve"> HYPERLINK \l "_Toc11798" </w:instrText>
          </w:r>
          <w:r>
            <w:fldChar w:fldCharType="separate"/>
          </w:r>
          <w:r>
            <w:rPr>
              <w:rFonts w:hint="eastAsia"/>
              <w:sz w:val="28"/>
              <w:szCs w:val="28"/>
            </w:rPr>
            <w:t>五、调研结论</w:t>
          </w:r>
          <w:r>
            <w:rPr>
              <w:sz w:val="28"/>
              <w:szCs w:val="28"/>
            </w:rPr>
            <w:tab/>
          </w:r>
          <w:r>
            <w:rPr>
              <w:sz w:val="28"/>
              <w:szCs w:val="28"/>
            </w:rPr>
            <w:fldChar w:fldCharType="begin"/>
          </w:r>
          <w:r>
            <w:rPr>
              <w:sz w:val="28"/>
              <w:szCs w:val="28"/>
            </w:rPr>
            <w:instrText xml:space="preserve"> PAGEREF _Toc11798 \h </w:instrText>
          </w:r>
          <w:r>
            <w:rPr>
              <w:sz w:val="28"/>
              <w:szCs w:val="28"/>
            </w:rPr>
            <w:fldChar w:fldCharType="separate"/>
          </w:r>
          <w:r>
            <w:rPr>
              <w:sz w:val="28"/>
              <w:szCs w:val="28"/>
            </w:rPr>
            <w:t>5</w:t>
          </w:r>
          <w:r>
            <w:rPr>
              <w:sz w:val="28"/>
              <w:szCs w:val="28"/>
            </w:rPr>
            <w:fldChar w:fldCharType="end"/>
          </w:r>
          <w:r>
            <w:rPr>
              <w:sz w:val="28"/>
              <w:szCs w:val="28"/>
            </w:rPr>
            <w:fldChar w:fldCharType="end"/>
          </w:r>
        </w:p>
        <w:p w14:paraId="4F339BAE">
          <w:pPr>
            <w:pStyle w:val="11"/>
            <w:tabs>
              <w:tab w:val="right" w:leader="dot" w:pos="8306"/>
            </w:tabs>
            <w:spacing w:line="360" w:lineRule="auto"/>
            <w:rPr>
              <w:sz w:val="28"/>
              <w:szCs w:val="28"/>
            </w:rPr>
          </w:pPr>
          <w:r>
            <w:fldChar w:fldCharType="begin"/>
          </w:r>
          <w:r>
            <w:instrText xml:space="preserve"> HYPERLINK \l "_Toc9083" </w:instrText>
          </w:r>
          <w:r>
            <w:fldChar w:fldCharType="separate"/>
          </w:r>
          <w:r>
            <w:rPr>
              <w:sz w:val="28"/>
              <w:szCs w:val="28"/>
            </w:rPr>
            <w:t xml:space="preserve">附表1 </w:t>
          </w:r>
          <w:r>
            <w:rPr>
              <w:rFonts w:hint="eastAsia"/>
              <w:sz w:val="28"/>
              <w:szCs w:val="28"/>
            </w:rPr>
            <w:t>工频高压分压器主要应用场景与计量需求分析</w:t>
          </w:r>
          <w:r>
            <w:rPr>
              <w:sz w:val="28"/>
              <w:szCs w:val="28"/>
            </w:rPr>
            <w:tab/>
          </w:r>
          <w:r>
            <w:rPr>
              <w:sz w:val="28"/>
              <w:szCs w:val="28"/>
            </w:rPr>
            <w:fldChar w:fldCharType="begin"/>
          </w:r>
          <w:r>
            <w:rPr>
              <w:sz w:val="28"/>
              <w:szCs w:val="28"/>
            </w:rPr>
            <w:instrText xml:space="preserve"> PAGEREF _Toc9083 \h </w:instrText>
          </w:r>
          <w:r>
            <w:rPr>
              <w:sz w:val="28"/>
              <w:szCs w:val="28"/>
            </w:rPr>
            <w:fldChar w:fldCharType="separate"/>
          </w:r>
          <w:r>
            <w:rPr>
              <w:sz w:val="28"/>
              <w:szCs w:val="28"/>
            </w:rPr>
            <w:t>7</w:t>
          </w:r>
          <w:r>
            <w:rPr>
              <w:sz w:val="28"/>
              <w:szCs w:val="28"/>
            </w:rPr>
            <w:fldChar w:fldCharType="end"/>
          </w:r>
          <w:r>
            <w:rPr>
              <w:sz w:val="28"/>
              <w:szCs w:val="28"/>
            </w:rPr>
            <w:fldChar w:fldCharType="end"/>
          </w:r>
        </w:p>
        <w:p w14:paraId="4558DE20">
          <w:pPr>
            <w:pStyle w:val="11"/>
            <w:tabs>
              <w:tab w:val="right" w:leader="dot" w:pos="8306"/>
            </w:tabs>
            <w:spacing w:line="360" w:lineRule="auto"/>
            <w:rPr>
              <w:sz w:val="28"/>
              <w:szCs w:val="28"/>
            </w:rPr>
          </w:pPr>
          <w:r>
            <w:fldChar w:fldCharType="begin"/>
          </w:r>
          <w:r>
            <w:instrText xml:space="preserve"> HYPERLINK \l "_Toc29007" </w:instrText>
          </w:r>
          <w:r>
            <w:fldChar w:fldCharType="separate"/>
          </w:r>
          <w:r>
            <w:rPr>
              <w:sz w:val="28"/>
              <w:szCs w:val="28"/>
            </w:rPr>
            <w:t xml:space="preserve">附表2 </w:t>
          </w:r>
          <w:r>
            <w:rPr>
              <w:rFonts w:hint="eastAsia"/>
              <w:sz w:val="28"/>
              <w:szCs w:val="28"/>
            </w:rPr>
            <w:t>工频高压分压器产品配置与技术参数调研汇总</w:t>
          </w:r>
          <w:r>
            <w:rPr>
              <w:sz w:val="28"/>
              <w:szCs w:val="28"/>
            </w:rPr>
            <w:tab/>
          </w:r>
          <w:r>
            <w:rPr>
              <w:sz w:val="28"/>
              <w:szCs w:val="28"/>
            </w:rPr>
            <w:fldChar w:fldCharType="begin"/>
          </w:r>
          <w:r>
            <w:rPr>
              <w:sz w:val="28"/>
              <w:szCs w:val="28"/>
            </w:rPr>
            <w:instrText xml:space="preserve"> PAGEREF _Toc29007 \h </w:instrText>
          </w:r>
          <w:r>
            <w:rPr>
              <w:sz w:val="28"/>
              <w:szCs w:val="28"/>
            </w:rPr>
            <w:fldChar w:fldCharType="separate"/>
          </w:r>
          <w:r>
            <w:rPr>
              <w:sz w:val="28"/>
              <w:szCs w:val="28"/>
            </w:rPr>
            <w:t>8</w:t>
          </w:r>
          <w:r>
            <w:rPr>
              <w:sz w:val="28"/>
              <w:szCs w:val="28"/>
            </w:rPr>
            <w:fldChar w:fldCharType="end"/>
          </w:r>
          <w:r>
            <w:rPr>
              <w:sz w:val="28"/>
              <w:szCs w:val="28"/>
            </w:rPr>
            <w:fldChar w:fldCharType="end"/>
          </w:r>
        </w:p>
        <w:p w14:paraId="39C3064C">
          <w:pPr>
            <w:pStyle w:val="11"/>
            <w:tabs>
              <w:tab w:val="right" w:leader="dot" w:pos="8306"/>
            </w:tabs>
            <w:spacing w:line="360" w:lineRule="auto"/>
            <w:rPr>
              <w:sz w:val="28"/>
              <w:szCs w:val="28"/>
            </w:rPr>
          </w:pPr>
          <w:r>
            <w:fldChar w:fldCharType="begin"/>
          </w:r>
          <w:r>
            <w:instrText xml:space="preserve"> HYPERLINK \l "_Toc4156" </w:instrText>
          </w:r>
          <w:r>
            <w:fldChar w:fldCharType="separate"/>
          </w:r>
          <w:r>
            <w:rPr>
              <w:sz w:val="28"/>
              <w:szCs w:val="28"/>
            </w:rPr>
            <w:t xml:space="preserve">附表3 </w:t>
          </w:r>
          <w:r>
            <w:rPr>
              <w:rFonts w:hint="eastAsia"/>
              <w:sz w:val="28"/>
              <w:szCs w:val="28"/>
            </w:rPr>
            <w:t>工频高压分压器检定标准装置配置要求调研汇总</w:t>
          </w:r>
          <w:r>
            <w:rPr>
              <w:sz w:val="28"/>
              <w:szCs w:val="28"/>
            </w:rPr>
            <w:tab/>
          </w:r>
          <w:r>
            <w:rPr>
              <w:sz w:val="28"/>
              <w:szCs w:val="28"/>
            </w:rPr>
            <w:fldChar w:fldCharType="begin"/>
          </w:r>
          <w:r>
            <w:rPr>
              <w:sz w:val="28"/>
              <w:szCs w:val="28"/>
            </w:rPr>
            <w:instrText xml:space="preserve"> PAGEREF _Toc4156 \h </w:instrText>
          </w:r>
          <w:r>
            <w:rPr>
              <w:sz w:val="28"/>
              <w:szCs w:val="28"/>
            </w:rPr>
            <w:fldChar w:fldCharType="separate"/>
          </w:r>
          <w:r>
            <w:rPr>
              <w:sz w:val="28"/>
              <w:szCs w:val="28"/>
            </w:rPr>
            <w:t>13</w:t>
          </w:r>
          <w:r>
            <w:rPr>
              <w:sz w:val="28"/>
              <w:szCs w:val="28"/>
            </w:rPr>
            <w:fldChar w:fldCharType="end"/>
          </w:r>
          <w:r>
            <w:rPr>
              <w:sz w:val="28"/>
              <w:szCs w:val="28"/>
            </w:rPr>
            <w:fldChar w:fldCharType="end"/>
          </w:r>
        </w:p>
        <w:p w14:paraId="7B600B51">
          <w:pPr>
            <w:spacing w:line="360" w:lineRule="auto"/>
            <w:rPr>
              <w:rFonts w:hint="eastAsia" w:ascii="宋体" w:hAnsi="宋体"/>
            </w:rPr>
          </w:pPr>
          <w:r>
            <w:rPr>
              <w:sz w:val="28"/>
              <w:szCs w:val="28"/>
            </w:rPr>
            <w:fldChar w:fldCharType="end"/>
          </w:r>
        </w:p>
      </w:sdtContent>
    </w:sdt>
    <w:p w14:paraId="2094F1DC">
      <w:pPr>
        <w:rPr>
          <w:rFonts w:hint="eastAsia" w:ascii="宋体" w:hAnsi="宋体"/>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11C72F9C">
      <w:pPr>
        <w:pStyle w:val="14"/>
        <w:spacing w:before="0" w:line="440" w:lineRule="exact"/>
        <w:outlineLvl w:val="9"/>
        <w:rPr>
          <w:rFonts w:ascii="Times New Roman" w:hAnsi="Times New Roman"/>
          <w:color w:val="000000"/>
          <w:sz w:val="36"/>
          <w:szCs w:val="36"/>
        </w:rPr>
      </w:pPr>
      <w:bookmarkStart w:id="2" w:name="_Hlk118475509"/>
      <w:r>
        <w:rPr>
          <w:rFonts w:hint="eastAsia" w:ascii="Times New Roman" w:hAnsi="Times New Roman"/>
          <w:color w:val="000000"/>
          <w:sz w:val="36"/>
          <w:szCs w:val="36"/>
        </w:rPr>
        <w:t>国家计量检定规程</w:t>
      </w:r>
    </w:p>
    <w:p w14:paraId="672B43BE">
      <w:pPr>
        <w:pStyle w:val="14"/>
        <w:spacing w:before="0" w:line="440" w:lineRule="exact"/>
        <w:outlineLvl w:val="9"/>
        <w:rPr>
          <w:rFonts w:ascii="Times New Roman" w:hAnsi="Times New Roman" w:eastAsia="黑体"/>
          <w:sz w:val="44"/>
          <w:szCs w:val="44"/>
        </w:rPr>
      </w:pPr>
      <w:bookmarkStart w:id="3" w:name="_Toc116567668"/>
      <w:bookmarkStart w:id="4" w:name="_Toc185257796"/>
      <w:r>
        <w:rPr>
          <w:rFonts w:ascii="Times New Roman" w:hAnsi="Times New Roman"/>
          <w:color w:val="000000"/>
          <w:sz w:val="36"/>
          <w:szCs w:val="36"/>
        </w:rPr>
        <w:t>《</w:t>
      </w:r>
      <w:r>
        <w:rPr>
          <w:rFonts w:hint="eastAsia" w:ascii="Times New Roman" w:hAnsi="Times New Roman"/>
          <w:color w:val="000000"/>
          <w:sz w:val="36"/>
          <w:szCs w:val="36"/>
        </w:rPr>
        <w:t>工频高压分压器检定规程</w:t>
      </w:r>
      <w:r>
        <w:rPr>
          <w:rFonts w:ascii="Times New Roman" w:hAnsi="Times New Roman"/>
          <w:color w:val="000000"/>
          <w:sz w:val="36"/>
          <w:szCs w:val="36"/>
        </w:rPr>
        <w:t>》</w:t>
      </w:r>
      <w:bookmarkEnd w:id="3"/>
      <w:r>
        <w:rPr>
          <w:rFonts w:ascii="Times New Roman" w:hAnsi="Times New Roman"/>
          <w:color w:val="000000"/>
          <w:sz w:val="36"/>
          <w:szCs w:val="36"/>
        </w:rPr>
        <w:t>调研报告</w:t>
      </w:r>
      <w:bookmarkEnd w:id="4"/>
    </w:p>
    <w:bookmarkEnd w:id="2"/>
    <w:p w14:paraId="46FCD1E9">
      <w:pPr>
        <w:pStyle w:val="24"/>
        <w:ind w:left="480" w:firstLine="0" w:firstLineChars="0"/>
        <w:rPr>
          <w:sz w:val="24"/>
        </w:rPr>
      </w:pPr>
    </w:p>
    <w:p w14:paraId="7476E559">
      <w:pPr>
        <w:pStyle w:val="2"/>
        <w:rPr>
          <w:rFonts w:ascii="Times New Roman" w:hAnsi="Times New Roman" w:cs="Times New Roman"/>
        </w:rPr>
      </w:pPr>
      <w:bookmarkStart w:id="5" w:name="_Toc30342"/>
      <w:bookmarkStart w:id="6" w:name="_Toc185257797"/>
      <w:r>
        <w:rPr>
          <w:rFonts w:ascii="Times New Roman" w:hAnsi="Times New Roman" w:cs="Times New Roman"/>
        </w:rPr>
        <w:t>一、调研背景</w:t>
      </w:r>
      <w:bookmarkEnd w:id="5"/>
      <w:bookmarkEnd w:id="6"/>
    </w:p>
    <w:p w14:paraId="44DD401F">
      <w:pPr>
        <w:spacing w:line="360" w:lineRule="auto"/>
        <w:ind w:firstLine="480" w:firstLineChars="200"/>
        <w:rPr>
          <w:sz w:val="24"/>
        </w:rPr>
      </w:pPr>
      <w:r>
        <w:rPr>
          <w:rFonts w:hint="eastAsia"/>
          <w:sz w:val="24"/>
        </w:rPr>
        <w:t>工频高压分压器是测量45Hz～55Hz工频高电压的核心装置，其量值准确性直接关系到电力设备试验安全、电网运行可靠及高压计量体系的溯源性。现行国家计量检定规程JJG 496-2016已实施近十年，随着高电压测量技术的快速发展，特别是特高压工程、智能电网建设及高准确度电子式分压器的普及，规程在覆盖范围、技术指标、检定方法等方面亟待更新。</w:t>
      </w:r>
    </w:p>
    <w:p w14:paraId="378F5759">
      <w:pPr>
        <w:spacing w:line="360" w:lineRule="auto"/>
        <w:ind w:firstLine="480" w:firstLineChars="200"/>
        <w:rPr>
          <w:sz w:val="24"/>
        </w:rPr>
      </w:pPr>
      <w:r>
        <w:rPr>
          <w:rFonts w:hint="eastAsia"/>
          <w:sz w:val="24"/>
        </w:rPr>
        <w:t>本次修订旨在适应技术发展新需求，解决原规程实施中遇到的实际问题，如更高准确度等级分压器的检定、电子式分压器检定方法的明确、</w:t>
      </w:r>
      <w:r>
        <w:rPr>
          <w:rFonts w:hint="eastAsia"/>
          <w:sz w:val="24"/>
          <w:highlight w:val="yellow"/>
        </w:rPr>
        <w:t>现场工程用(工作用)</w:t>
      </w:r>
      <w:r>
        <w:rPr>
          <w:rFonts w:hint="eastAsia"/>
          <w:sz w:val="24"/>
        </w:rPr>
        <w:t>分压器检定条件的优化等。为确保修订工作的科学性、先进性与可操作性，特开展本次系统性产品调研。</w:t>
      </w:r>
    </w:p>
    <w:p w14:paraId="0CDB12BA">
      <w:pPr>
        <w:pStyle w:val="2"/>
        <w:rPr>
          <w:rFonts w:ascii="Times New Roman" w:hAnsi="Times New Roman" w:cs="Times New Roman"/>
        </w:rPr>
      </w:pPr>
      <w:bookmarkStart w:id="7" w:name="_Toc185257798"/>
      <w:bookmarkStart w:id="8" w:name="_Toc27770"/>
      <w:r>
        <w:rPr>
          <w:rFonts w:ascii="Times New Roman" w:hAnsi="Times New Roman" w:cs="Times New Roman"/>
        </w:rPr>
        <w:t>二、调研目的</w:t>
      </w:r>
      <w:bookmarkEnd w:id="7"/>
      <w:bookmarkEnd w:id="8"/>
    </w:p>
    <w:p w14:paraId="762E4711">
      <w:pPr>
        <w:spacing w:line="360" w:lineRule="auto"/>
        <w:ind w:firstLine="480" w:firstLineChars="200"/>
      </w:pPr>
      <w:r>
        <w:rPr>
          <w:rFonts w:hint="eastAsia"/>
          <w:sz w:val="24"/>
        </w:rPr>
        <w:t>通过系统梳理工频高压分压器在计量溯源、电力试验与设备制造等不同应用场景中的具体需求，明确其计量特性的区分特征。全面调研国内外主流产品的技术参数、结构类型、准确度等级分布及技术发展趋势。系统评估各级计量技术机构、电网公司及制造企业的现有检定能力、标准装置配置状况及实施过程中的技术难点。为规范准确度等级划分、计量性能要求、检定条件、标准器配置方案及核心检定方法等关键条款的制定提供科学依据与决策支持。</w:t>
      </w:r>
    </w:p>
    <w:p w14:paraId="3215D432">
      <w:pPr>
        <w:pStyle w:val="2"/>
        <w:rPr>
          <w:rFonts w:ascii="Times New Roman" w:hAnsi="Times New Roman" w:cs="Times New Roman"/>
        </w:rPr>
      </w:pPr>
      <w:bookmarkStart w:id="9" w:name="_Toc185257799"/>
      <w:bookmarkStart w:id="10" w:name="_Toc1735"/>
      <w:r>
        <w:rPr>
          <w:rFonts w:ascii="Times New Roman" w:hAnsi="Times New Roman" w:cs="Times New Roman"/>
        </w:rPr>
        <w:t>三、调研内容</w:t>
      </w:r>
      <w:bookmarkEnd w:id="9"/>
      <w:bookmarkEnd w:id="10"/>
    </w:p>
    <w:p w14:paraId="0B1FEAA7">
      <w:pPr>
        <w:spacing w:line="360" w:lineRule="auto"/>
        <w:ind w:firstLine="480" w:firstLineChars="200"/>
      </w:pPr>
      <w:r>
        <w:rPr>
          <w:rFonts w:hint="eastAsia"/>
          <w:sz w:val="24"/>
        </w:rPr>
        <w:t>应用场景与需求调研：分析分压器作为计量标准（A类）与</w:t>
      </w:r>
      <w:r>
        <w:rPr>
          <w:rFonts w:hint="eastAsia"/>
          <w:sz w:val="24"/>
          <w:highlight w:val="yellow"/>
        </w:rPr>
        <w:t>工程试验仪器（工程测量设备）</w:t>
      </w:r>
      <w:r>
        <w:rPr>
          <w:rFonts w:hint="eastAsia"/>
          <w:sz w:val="24"/>
        </w:rPr>
        <w:t>（B类）在功能定位上的本质区别，明确其在准确度、稳定性、相位特性、环境适应性等方面的具体技术要求。</w:t>
      </w:r>
    </w:p>
    <w:p w14:paraId="179F5E7E">
      <w:pPr>
        <w:spacing w:line="360" w:lineRule="auto"/>
        <w:ind w:firstLine="480" w:firstLineChars="200"/>
      </w:pPr>
      <w:r>
        <w:rPr>
          <w:rFonts w:hint="eastAsia"/>
          <w:sz w:val="24"/>
        </w:rPr>
        <w:t>产品技术参数调研：通过文献分析与数据统计，掌握产品分类（A/B类）、结构类型（电阻式、电容式、阻容式、电子式）、准确度等级、最大允许误差、工作频率等关键技术指标的现状与取值范围。</w:t>
      </w:r>
    </w:p>
    <w:p w14:paraId="60C7B25A">
      <w:pPr>
        <w:spacing w:line="360" w:lineRule="auto"/>
        <w:ind w:firstLine="480" w:firstLineChars="200"/>
      </w:pPr>
      <w:r>
        <w:rPr>
          <w:rFonts w:hint="eastAsia"/>
          <w:sz w:val="24"/>
        </w:rPr>
        <w:t>检定能力与装置调研：系统梳理当前主流检定方法（如直接比较法）的技术路径，调研适用于A类及B类分压器的标准装置（包括标准电压互感器、感应分压器、双通道同步采样装置、数字表计组合装置等）的配置要求、准确度等级及量程覆盖能力。</w:t>
      </w:r>
    </w:p>
    <w:p w14:paraId="041D2959">
      <w:pPr>
        <w:pStyle w:val="2"/>
        <w:numPr>
          <w:ilvl w:val="0"/>
          <w:numId w:val="1"/>
        </w:numPr>
        <w:rPr>
          <w:rFonts w:ascii="Times New Roman" w:hAnsi="Times New Roman" w:cs="Times New Roman"/>
        </w:rPr>
      </w:pPr>
      <w:bookmarkStart w:id="11" w:name="_Toc185257800"/>
      <w:bookmarkStart w:id="12" w:name="_Toc30805"/>
      <w:r>
        <w:rPr>
          <w:rFonts w:ascii="Times New Roman" w:hAnsi="Times New Roman" w:cs="Times New Roman"/>
        </w:rPr>
        <w:t>调研情况</w:t>
      </w:r>
      <w:bookmarkEnd w:id="11"/>
      <w:bookmarkEnd w:id="12"/>
    </w:p>
    <w:p w14:paraId="21D25F24">
      <w:pPr>
        <w:numPr>
          <w:ilvl w:val="0"/>
          <w:numId w:val="2"/>
        </w:numPr>
        <w:spacing w:line="360" w:lineRule="auto"/>
        <w:outlineLvl w:val="1"/>
        <w:rPr>
          <w:sz w:val="24"/>
        </w:rPr>
      </w:pPr>
      <w:bookmarkStart w:id="13" w:name="_Toc889"/>
      <w:r>
        <w:rPr>
          <w:rFonts w:hint="eastAsia"/>
          <w:sz w:val="24"/>
        </w:rPr>
        <w:t>工频高压分压器应用场景与计量需求分析</w:t>
      </w:r>
      <w:bookmarkEnd w:id="13"/>
    </w:p>
    <w:p w14:paraId="0FA26292">
      <w:pPr>
        <w:spacing w:line="360" w:lineRule="auto"/>
        <w:ind w:firstLine="480" w:firstLineChars="200"/>
      </w:pPr>
      <w:r>
        <w:rPr>
          <w:rFonts w:hint="eastAsia"/>
          <w:sz w:val="24"/>
        </w:rPr>
        <w:t>依据规程草案及相关技术资料，工频高压分压器的应用场景可明确区分为以下两类，其技术需求存在显著差异（详见附表1）：</w:t>
      </w:r>
    </w:p>
    <w:p w14:paraId="7AB8A521">
      <w:pPr>
        <w:spacing w:line="360" w:lineRule="auto"/>
        <w:ind w:firstLine="480" w:firstLineChars="200"/>
        <w:rPr>
          <w:sz w:val="24"/>
          <w:highlight w:val="none"/>
        </w:rPr>
      </w:pPr>
      <w:r>
        <w:rPr>
          <w:rFonts w:hint="eastAsia"/>
          <w:sz w:val="24"/>
          <w:highlight w:val="none"/>
        </w:rPr>
        <w:t>A类（计量标准用途）：主要服务于国家及各级计量技术机构、高端校准实验室，用于建立与保存工频高电压比例量值，或作为工作标准对其他测量系统</w:t>
      </w:r>
      <w:r>
        <w:rPr>
          <w:rFonts w:hint="eastAsia"/>
          <w:sz w:val="24"/>
          <w:highlight w:val="none"/>
          <w:lang w:val="en-US" w:eastAsia="zh-CN"/>
        </w:rPr>
        <w:t>量传工作</w:t>
      </w:r>
      <w:r>
        <w:rPr>
          <w:rFonts w:hint="eastAsia"/>
          <w:sz w:val="24"/>
          <w:highlight w:val="none"/>
        </w:rPr>
        <w:t>。其核心需求在于</w:t>
      </w:r>
      <w:r>
        <w:rPr>
          <w:rFonts w:hint="eastAsia"/>
          <w:sz w:val="24"/>
          <w:highlight w:val="none"/>
          <w:lang w:val="en-US" w:eastAsia="zh-CN"/>
        </w:rPr>
        <w:t>较</w:t>
      </w:r>
      <w:r>
        <w:rPr>
          <w:rFonts w:hint="eastAsia"/>
          <w:sz w:val="24"/>
          <w:highlight w:val="none"/>
        </w:rPr>
        <w:t>高的准确度等级（0.02级、0.05级）与良好的长期稳定性；必须同时对比例系数误差（比值差）与相位差进行严格考核。使用环境为温度、湿度及电磁干扰均受控的精密实验室。</w:t>
      </w:r>
    </w:p>
    <w:p w14:paraId="1D0AEEAA">
      <w:pPr>
        <w:spacing w:line="360" w:lineRule="auto"/>
        <w:ind w:firstLine="480" w:firstLineChars="200"/>
        <w:rPr>
          <w:sz w:val="24"/>
          <w:highlight w:val="none"/>
        </w:rPr>
      </w:pPr>
      <w:r>
        <w:rPr>
          <w:rFonts w:hint="eastAsia"/>
          <w:sz w:val="24"/>
          <w:highlight w:val="none"/>
        </w:rPr>
        <w:t>B类（工程测量用途）：广泛应用于电力系统设备的交接验收、预防性试验（如工频耐压试验）、高压电器出厂试验等场合。核心需求侧重于可靠性、现场适应性及经济性。准确度等级要求相对宽松（0.1级至2级），通常仅考核分压比基本误差，对相位差未作明确规定。使用环境涵盖条件多变的现场或试验大厅。</w:t>
      </w:r>
    </w:p>
    <w:p w14:paraId="53339319">
      <w:pPr>
        <w:spacing w:line="360" w:lineRule="auto"/>
        <w:ind w:firstLine="480" w:firstLineChars="200"/>
        <w:rPr>
          <w:sz w:val="24"/>
        </w:rPr>
      </w:pPr>
      <w:r>
        <w:rPr>
          <w:rFonts w:hint="eastAsia"/>
          <w:sz w:val="24"/>
        </w:rPr>
        <w:t>关键结论：</w:t>
      </w:r>
    </w:p>
    <w:p w14:paraId="718BCB8E">
      <w:pPr>
        <w:spacing w:line="360" w:lineRule="auto"/>
        <w:ind w:firstLine="480" w:firstLineChars="200"/>
      </w:pPr>
      <w:r>
        <w:rPr>
          <w:rFonts w:hint="eastAsia"/>
          <w:sz w:val="24"/>
        </w:rPr>
        <w:t>1.分类是技术与管理的基础：A类与B类的划分源于其根本应用目标的差异，应在规程中予以明确，并规定差异化的性能要求、检定条件与周期。</w:t>
      </w:r>
    </w:p>
    <w:p w14:paraId="3485B2A9">
      <w:pPr>
        <w:spacing w:line="360" w:lineRule="auto"/>
        <w:ind w:firstLine="480" w:firstLineChars="200"/>
        <w:rPr>
          <w:highlight w:val="none"/>
        </w:rPr>
      </w:pPr>
      <w:r>
        <w:rPr>
          <w:rFonts w:hint="eastAsia"/>
          <w:sz w:val="24"/>
        </w:rPr>
        <w:t>2</w:t>
      </w:r>
      <w:r>
        <w:rPr>
          <w:rFonts w:hint="eastAsia"/>
          <w:sz w:val="24"/>
          <w:highlight w:val="none"/>
        </w:rPr>
        <w:t>.“工频”定义统一为45 Hz~55 Hz：此定义与国际标准IEC 60060及国内高压试验惯例保持一致。</w:t>
      </w:r>
    </w:p>
    <w:p w14:paraId="65687A46">
      <w:pPr>
        <w:spacing w:line="360" w:lineRule="auto"/>
        <w:ind w:firstLine="480" w:firstLineChars="200"/>
        <w:rPr>
          <w:highlight w:val="none"/>
        </w:rPr>
      </w:pPr>
      <w:r>
        <w:rPr>
          <w:rFonts w:hint="eastAsia"/>
          <w:sz w:val="24"/>
          <w:highlight w:val="none"/>
        </w:rPr>
        <w:t>3.A类分压器的相位差要求需与电压互感器</w:t>
      </w:r>
      <w:r>
        <w:rPr>
          <w:rFonts w:hint="eastAsia"/>
          <w:sz w:val="24"/>
          <w:highlight w:val="none"/>
          <w:lang w:val="en-US" w:eastAsia="zh-CN"/>
        </w:rPr>
        <w:t>等</w:t>
      </w:r>
      <w:r>
        <w:rPr>
          <w:rFonts w:hint="eastAsia"/>
          <w:sz w:val="24"/>
          <w:highlight w:val="none"/>
        </w:rPr>
        <w:t>相关计量技术规范相协调：作为电压比例标准，其相位差允许误差限值宜与同等级测量用电压互感器（依据JJG 314）的要求相匹配，以确保其作为标准装置的广泛适用性。</w:t>
      </w:r>
    </w:p>
    <w:p w14:paraId="38C40B80">
      <w:pPr>
        <w:spacing w:line="360" w:lineRule="auto"/>
        <w:ind w:firstLine="480" w:firstLineChars="200"/>
      </w:pPr>
      <w:r>
        <w:rPr>
          <w:rFonts w:hint="eastAsia"/>
          <w:sz w:val="24"/>
        </w:rPr>
        <w:t>4.稳定性成为关键性能指标：无论是A类设备的周期稳定性，还是B类设备在持续加压条件下的短期稳定性，均为评价分压器性能的核心指标。</w:t>
      </w:r>
    </w:p>
    <w:p w14:paraId="304A085A">
      <w:pPr>
        <w:numPr>
          <w:ilvl w:val="0"/>
          <w:numId w:val="2"/>
        </w:numPr>
        <w:spacing w:line="360" w:lineRule="auto"/>
        <w:outlineLvl w:val="1"/>
        <w:rPr>
          <w:sz w:val="24"/>
        </w:rPr>
      </w:pPr>
      <w:bookmarkStart w:id="14" w:name="_Toc7960"/>
      <w:r>
        <w:rPr>
          <w:rFonts w:hint="eastAsia"/>
          <w:sz w:val="24"/>
        </w:rPr>
        <w:t>工频高压分压器产品技术参数调研</w:t>
      </w:r>
      <w:bookmarkEnd w:id="14"/>
    </w:p>
    <w:p w14:paraId="14A28712">
      <w:pPr>
        <w:spacing w:line="360" w:lineRule="auto"/>
        <w:ind w:firstLine="480" w:firstLineChars="200"/>
      </w:pPr>
      <w:r>
        <w:rPr>
          <w:rFonts w:hint="eastAsia"/>
          <w:sz w:val="24"/>
        </w:rPr>
        <w:t>基于对分压器调研数据的统计分析，当前产品技术现状呈现如下特征（详见附表2）：</w:t>
      </w:r>
    </w:p>
    <w:p w14:paraId="0C58626D">
      <w:pPr>
        <w:numPr>
          <w:ilvl w:val="1"/>
          <w:numId w:val="2"/>
        </w:numPr>
        <w:spacing w:line="360" w:lineRule="auto"/>
      </w:pPr>
      <w:r>
        <w:rPr>
          <w:rFonts w:hint="eastAsia"/>
          <w:sz w:val="24"/>
        </w:rPr>
        <w:t>1.产品类型与市场分布</w:t>
      </w:r>
    </w:p>
    <w:p w14:paraId="163E32EC">
      <w:pPr>
        <w:spacing w:line="360" w:lineRule="auto"/>
        <w:ind w:firstLine="480" w:firstLineChars="200"/>
        <w:rPr>
          <w:sz w:val="24"/>
        </w:rPr>
      </w:pPr>
      <w:r>
        <w:rPr>
          <w:rFonts w:hint="eastAsia"/>
          <w:sz w:val="24"/>
        </w:rPr>
        <w:t>结构类型：主要包括电阻式、电容式、阻容式及电子式（有源分压器）。其中，电子式分压器凭借高准确度、高输入阻抗、低负载效应等优势，在A类应用中已成为主流选择。</w:t>
      </w:r>
    </w:p>
    <w:p w14:paraId="2EDA1167">
      <w:pPr>
        <w:spacing w:line="360" w:lineRule="auto"/>
        <w:ind w:firstLine="480" w:firstLineChars="200"/>
        <w:rPr>
          <w:sz w:val="24"/>
        </w:rPr>
      </w:pPr>
      <w:r>
        <w:rPr>
          <w:rFonts w:hint="eastAsia"/>
          <w:sz w:val="24"/>
        </w:rPr>
        <w:t>A/B类配置情况：根据对28家单位的调研结果：</w:t>
      </w:r>
    </w:p>
    <w:p w14:paraId="26C9C256">
      <w:pPr>
        <w:spacing w:line="360" w:lineRule="auto"/>
        <w:ind w:firstLine="480" w:firstLineChars="200"/>
        <w:rPr>
          <w:sz w:val="24"/>
        </w:rPr>
      </w:pPr>
      <w:r>
        <w:rPr>
          <w:rFonts w:hint="eastAsia"/>
          <w:sz w:val="24"/>
        </w:rPr>
        <w:t>A类配置单位：主要集中于顶尖计量技术机构，如中国计量科学研究院、国家高电压计量站、西安高压电器研究院股份有限公司等，占比约为8%。</w:t>
      </w:r>
    </w:p>
    <w:p w14:paraId="5E8743F0">
      <w:pPr>
        <w:spacing w:line="360" w:lineRule="auto"/>
        <w:ind w:firstLine="480" w:firstLineChars="200"/>
      </w:pPr>
      <w:r>
        <w:rPr>
          <w:rFonts w:hint="eastAsia"/>
          <w:sz w:val="24"/>
        </w:rPr>
        <w:t>B类配置单位：占据绝对主体地位（占比约92%），广泛分布于各级电网公司电力科学研究院、省级计量技术机构及众多高压设备制造企业。</w:t>
      </w:r>
    </w:p>
    <w:p w14:paraId="3AB052B2">
      <w:pPr>
        <w:spacing w:line="360" w:lineRule="auto"/>
        <w:ind w:firstLine="480" w:firstLineChars="200"/>
        <w:rPr>
          <w:sz w:val="24"/>
        </w:rPr>
      </w:pPr>
      <w:r>
        <w:rPr>
          <w:rFonts w:hint="eastAsia"/>
          <w:sz w:val="24"/>
        </w:rPr>
        <w:t>单位类型分析：</w:t>
      </w:r>
    </w:p>
    <w:p w14:paraId="5A4942BD">
      <w:pPr>
        <w:spacing w:line="360" w:lineRule="auto"/>
        <w:ind w:firstLine="480" w:firstLineChars="200"/>
      </w:pPr>
      <w:r>
        <w:rPr>
          <w:rFonts w:hint="eastAsia"/>
          <w:sz w:val="24"/>
        </w:rPr>
        <w:t>计量技术机构：作为A类分压器的主要持有与使用单位，同时普遍配备B类分压器，用于量值传递或检测工作。</w:t>
      </w:r>
    </w:p>
    <w:p w14:paraId="5CF345C6">
      <w:pPr>
        <w:spacing w:line="360" w:lineRule="auto"/>
        <w:ind w:firstLine="480" w:firstLineChars="200"/>
      </w:pPr>
      <w:r>
        <w:rPr>
          <w:rFonts w:hint="eastAsia"/>
          <w:sz w:val="24"/>
        </w:rPr>
        <w:t>高电压设备制造单位：均配置B类分压器，主要用于产品出厂试验与研发测试。</w:t>
      </w:r>
    </w:p>
    <w:p w14:paraId="397C38D4">
      <w:pPr>
        <w:spacing w:line="360" w:lineRule="auto"/>
        <w:ind w:firstLine="480" w:firstLineChars="200"/>
        <w:rPr>
          <w:sz w:val="24"/>
        </w:rPr>
      </w:pPr>
      <w:r>
        <w:rPr>
          <w:rFonts w:hint="eastAsia"/>
          <w:sz w:val="24"/>
        </w:rPr>
        <w:t>电网试验研究机构：全部配置B类分压器，系现场工程试验的主要实施单位。</w:t>
      </w:r>
    </w:p>
    <w:p w14:paraId="0542CCD6">
      <w:pPr>
        <w:spacing w:line="360" w:lineRule="auto"/>
        <w:ind w:firstLine="480" w:firstLineChars="200"/>
        <w:rPr>
          <w:sz w:val="24"/>
        </w:rPr>
      </w:pPr>
      <w:r>
        <w:rPr>
          <w:rFonts w:hint="eastAsia"/>
          <w:sz w:val="24"/>
        </w:rPr>
        <w:t>2.关键技术参数范围</w:t>
      </w:r>
    </w:p>
    <w:p w14:paraId="1FDE8CFA">
      <w:pPr>
        <w:spacing w:line="360" w:lineRule="auto"/>
        <w:ind w:firstLine="480" w:firstLineChars="200"/>
        <w:rPr>
          <w:sz w:val="24"/>
        </w:rPr>
      </w:pPr>
      <w:r>
        <w:rPr>
          <w:rFonts w:hint="eastAsia"/>
          <w:sz w:val="24"/>
        </w:rPr>
        <w:t>额定电压：不低于1 kV。</w:t>
      </w:r>
    </w:p>
    <w:p w14:paraId="17CFE010">
      <w:pPr>
        <w:spacing w:line="360" w:lineRule="auto"/>
        <w:ind w:firstLine="480" w:firstLineChars="200"/>
        <w:rPr>
          <w:sz w:val="24"/>
        </w:rPr>
      </w:pPr>
      <w:r>
        <w:rPr>
          <w:rFonts w:hint="eastAsia"/>
          <w:sz w:val="24"/>
        </w:rPr>
        <w:t>准确度等级：体系划分为七个等级。其中，A类涵盖0.02级和0.05级；B类涵盖0.1级、0.2级、0.5级、1级及2级。</w:t>
      </w:r>
    </w:p>
    <w:p w14:paraId="5DA09E7F">
      <w:pPr>
        <w:spacing w:line="360" w:lineRule="auto"/>
        <w:ind w:firstLine="480" w:firstLineChars="200"/>
        <w:rPr>
          <w:sz w:val="24"/>
        </w:rPr>
      </w:pPr>
      <w:r>
        <w:rPr>
          <w:rFonts w:hint="eastAsia"/>
          <w:sz w:val="24"/>
        </w:rPr>
        <w:t>最大允许误差（MPE）：</w:t>
      </w:r>
    </w:p>
    <w:p w14:paraId="624C056F">
      <w:pPr>
        <w:spacing w:line="360" w:lineRule="auto"/>
        <w:ind w:firstLine="480" w:firstLineChars="200"/>
        <w:rPr>
          <w:sz w:val="24"/>
        </w:rPr>
      </w:pPr>
      <w:r>
        <w:rPr>
          <w:rFonts w:hint="eastAsia"/>
          <w:sz w:val="24"/>
        </w:rPr>
        <w:t>A类：同时规定比例系数误差（比值差，例如0.05级为±0.05%）与相位差（例如0.05级为±2′）。</w:t>
      </w:r>
    </w:p>
    <w:p w14:paraId="0AAB793F">
      <w:pPr>
        <w:spacing w:line="360" w:lineRule="auto"/>
        <w:ind w:firstLine="480" w:firstLineChars="200"/>
        <w:rPr>
          <w:sz w:val="24"/>
        </w:rPr>
      </w:pPr>
      <w:r>
        <w:rPr>
          <w:rFonts w:hint="eastAsia"/>
          <w:sz w:val="24"/>
        </w:rPr>
        <w:t>B类：仅规定基本误差（例如0.5级为±0.5%）。</w:t>
      </w:r>
    </w:p>
    <w:p w14:paraId="767A8C69">
      <w:pPr>
        <w:spacing w:line="360" w:lineRule="auto"/>
        <w:ind w:firstLine="480" w:firstLineChars="200"/>
        <w:rPr>
          <w:sz w:val="24"/>
        </w:rPr>
      </w:pPr>
      <w:r>
        <w:rPr>
          <w:rFonts w:hint="eastAsia"/>
          <w:sz w:val="24"/>
        </w:rPr>
        <w:t>其他计量性能：</w:t>
      </w:r>
    </w:p>
    <w:p w14:paraId="21E81F8A">
      <w:pPr>
        <w:spacing w:line="360" w:lineRule="auto"/>
        <w:ind w:firstLine="480" w:firstLineChars="200"/>
        <w:rPr>
          <w:sz w:val="24"/>
        </w:rPr>
      </w:pPr>
      <w:r>
        <w:rPr>
          <w:rFonts w:hint="eastAsia"/>
          <w:sz w:val="24"/>
        </w:rPr>
        <w:t>升降变差：应不超过其MPE绝对值的1/3。</w:t>
      </w:r>
    </w:p>
    <w:p w14:paraId="5AE8264C">
      <w:pPr>
        <w:spacing w:line="360" w:lineRule="auto"/>
        <w:ind w:firstLine="480" w:firstLineChars="200"/>
        <w:rPr>
          <w:sz w:val="24"/>
        </w:rPr>
      </w:pPr>
      <w:r>
        <w:rPr>
          <w:rFonts w:hint="eastAsia"/>
          <w:sz w:val="24"/>
        </w:rPr>
        <w:t>短期稳定性：在额定电压下持续运行30分钟，其误差变化量不得超过MPE绝对值的1/3。</w:t>
      </w:r>
    </w:p>
    <w:p w14:paraId="35745E1B">
      <w:pPr>
        <w:numPr>
          <w:ilvl w:val="0"/>
          <w:numId w:val="2"/>
        </w:numPr>
        <w:spacing w:line="360" w:lineRule="auto"/>
        <w:outlineLvl w:val="1"/>
        <w:rPr>
          <w:sz w:val="24"/>
        </w:rPr>
      </w:pPr>
      <w:bookmarkStart w:id="15" w:name="_Toc16331"/>
      <w:r>
        <w:rPr>
          <w:rFonts w:hint="eastAsia"/>
          <w:sz w:val="24"/>
        </w:rPr>
        <w:t>工频高压分压器检定能力与标准装置调研</w:t>
      </w:r>
      <w:bookmarkEnd w:id="15"/>
    </w:p>
    <w:p w14:paraId="38E44C91">
      <w:pPr>
        <w:numPr>
          <w:ilvl w:val="1"/>
          <w:numId w:val="2"/>
        </w:numPr>
        <w:spacing w:line="360" w:lineRule="auto"/>
        <w:outlineLvl w:val="2"/>
      </w:pPr>
      <w:bookmarkStart w:id="16" w:name="_Toc17140"/>
      <w:r>
        <w:rPr>
          <w:rFonts w:hint="eastAsia"/>
          <w:sz w:val="24"/>
        </w:rPr>
        <w:t>检定方法的</w:t>
      </w:r>
      <w:bookmarkEnd w:id="16"/>
      <w:r>
        <w:rPr>
          <w:rFonts w:hint="eastAsia"/>
          <w:sz w:val="24"/>
        </w:rPr>
        <w:t>发展趋向</w:t>
      </w:r>
    </w:p>
    <w:p w14:paraId="290F8CF2">
      <w:pPr>
        <w:spacing w:line="360" w:lineRule="auto"/>
        <w:ind w:firstLine="480" w:firstLineChars="200"/>
      </w:pPr>
      <w:r>
        <w:rPr>
          <w:rFonts w:hint="eastAsia"/>
          <w:sz w:val="24"/>
        </w:rPr>
        <w:t>调研结果表明，检定方法正朝着高效、精准且自动化的方向演进。新规程草案将 JJG 496 - 2016 原有的三种方法简化为统一的直接比较法，并依据 A、B 类别差异，明确了两类技术路径（详见附表 3）：</w:t>
      </w:r>
    </w:p>
    <w:p w14:paraId="3E80DDFF">
      <w:pPr>
        <w:spacing w:line="360" w:lineRule="auto"/>
        <w:ind w:firstLine="480" w:firstLineChars="200"/>
      </w:pPr>
      <w:r>
        <w:rPr>
          <w:rFonts w:hint="eastAsia"/>
          <w:sz w:val="24"/>
        </w:rPr>
        <w:t>A 类分压器检定方法：</w:t>
      </w:r>
    </w:p>
    <w:p w14:paraId="2BC29F38">
      <w:pPr>
        <w:spacing w:line="360" w:lineRule="auto"/>
        <w:ind w:firstLine="480" w:firstLineChars="200"/>
      </w:pPr>
      <w:r>
        <w:rPr>
          <w:rFonts w:hint="eastAsia"/>
          <w:sz w:val="24"/>
        </w:rPr>
        <w:t>传统高等级标准器法：采用不低于 0.005 级标准电压互感器（PT）与不低于 0.0005 级感应分压器（IVD）组合进行差值测量。该方法技术成熟度较高，但系统构成较为复杂。</w:t>
      </w:r>
    </w:p>
    <w:p w14:paraId="68FE122F">
      <w:pPr>
        <w:spacing w:line="360" w:lineRule="auto"/>
        <w:ind w:firstLine="480" w:firstLineChars="200"/>
      </w:pPr>
      <w:r>
        <w:rPr>
          <w:rFonts w:hint="eastAsia"/>
          <w:sz w:val="24"/>
        </w:rPr>
        <w:t>现代同步采样法（主流发展方向）：应用高准确度双通道数字同步采样装置，同步采集标准与被检信号，直接计算比值差与相位差。该方法自动化水平较高，可有效避免传统方法中的相位传递误差，代表技术发展的主流方向。</w:t>
      </w:r>
    </w:p>
    <w:p w14:paraId="20480B24">
      <w:pPr>
        <w:spacing w:line="360" w:lineRule="auto"/>
        <w:ind w:firstLine="480" w:firstLineChars="200"/>
      </w:pPr>
      <w:r>
        <w:rPr>
          <w:rFonts w:hint="eastAsia"/>
          <w:sz w:val="24"/>
        </w:rPr>
        <w:t>B 类分压器检定方法：</w:t>
      </w:r>
    </w:p>
    <w:p w14:paraId="74AC183F">
      <w:pPr>
        <w:spacing w:line="360" w:lineRule="auto"/>
        <w:ind w:firstLine="480" w:firstLineChars="200"/>
      </w:pPr>
      <w:r>
        <w:rPr>
          <w:rFonts w:hint="eastAsia"/>
          <w:sz w:val="24"/>
        </w:rPr>
        <w:t>标准表比较法：采用标准电压互感器（或标准分压器）与高准确度数字电压测量仪表（如数字多用表、功率分析仪）构成的组合装置进行直接比较。该方法标准器易于获取、溯源路径清晰、操作简便，适用于各级检定机构推广应用。</w:t>
      </w:r>
    </w:p>
    <w:p w14:paraId="28FCDE1E">
      <w:pPr>
        <w:numPr>
          <w:ilvl w:val="1"/>
          <w:numId w:val="2"/>
        </w:numPr>
        <w:spacing w:line="360" w:lineRule="auto"/>
        <w:outlineLvl w:val="2"/>
        <w:rPr>
          <w:sz w:val="24"/>
        </w:rPr>
      </w:pPr>
      <w:bookmarkStart w:id="17" w:name="_Toc2529"/>
      <w:r>
        <w:rPr>
          <w:rFonts w:hint="eastAsia"/>
          <w:sz w:val="24"/>
        </w:rPr>
        <w:t>标准装置配置核心要求</w:t>
      </w:r>
      <w:bookmarkEnd w:id="17"/>
    </w:p>
    <w:p w14:paraId="667A027F">
      <w:pPr>
        <w:spacing w:line="360" w:lineRule="auto"/>
        <w:ind w:firstLine="480" w:firstLineChars="200"/>
        <w:rPr>
          <w:highlight w:val="none"/>
        </w:rPr>
      </w:pPr>
      <w:r>
        <w:rPr>
          <w:rFonts w:hint="eastAsia"/>
          <w:sz w:val="24"/>
          <w:highlight w:val="none"/>
        </w:rPr>
        <w:t>准确度关系：标准装置的综合扩展不确定度（或允许误差限）应不超过被检分压器 MPE 的 1/3 至 1/4。此项为保障检定结果可靠性的核心准则。</w:t>
      </w:r>
    </w:p>
    <w:p w14:paraId="51109746">
      <w:pPr>
        <w:spacing w:line="360" w:lineRule="auto"/>
        <w:ind w:firstLine="480" w:firstLineChars="200"/>
        <w:rPr>
          <w:highlight w:val="none"/>
        </w:rPr>
      </w:pPr>
      <w:r>
        <w:rPr>
          <w:rFonts w:hint="eastAsia"/>
          <w:sz w:val="24"/>
          <w:highlight w:val="none"/>
        </w:rPr>
        <w:t>量程与频率覆盖：须全面覆盖被检分压器的额定电压、分压比及</w:t>
      </w:r>
      <w:r>
        <w:rPr>
          <w:rFonts w:hint="default" w:ascii="Times New Roman" w:hAnsi="Times New Roman" w:cs="Times New Roman"/>
          <w:color w:val="FF0000"/>
          <w:sz w:val="24"/>
          <w:highlight w:val="none"/>
        </w:rPr>
        <w:t xml:space="preserve"> </w:t>
      </w:r>
      <w:r>
        <w:rPr>
          <w:rFonts w:hint="eastAsia" w:cs="Times New Roman"/>
          <w:color w:val="auto"/>
          <w:sz w:val="24"/>
          <w:highlight w:val="none"/>
          <w:lang w:val="en-US" w:eastAsia="zh-CN"/>
        </w:rPr>
        <w:t>(</w:t>
      </w:r>
      <w:r>
        <w:rPr>
          <w:rFonts w:hint="default" w:ascii="Times New Roman" w:hAnsi="Times New Roman" w:cs="Times New Roman"/>
          <w:color w:val="auto"/>
          <w:sz w:val="24"/>
          <w:highlight w:val="none"/>
        </w:rPr>
        <w:t xml:space="preserve">45 </w:t>
      </w:r>
      <w:r>
        <w:rPr>
          <w:rFonts w:hint="default" w:ascii="Times New Roman" w:hAnsi="Times New Roman" w:cs="Times New Roman"/>
          <w:color w:val="auto"/>
          <w:sz w:val="24"/>
          <w:highlight w:val="none"/>
          <w:lang w:val="en-US" w:eastAsia="zh-CN"/>
        </w:rPr>
        <w:t>~</w:t>
      </w:r>
      <w:r>
        <w:rPr>
          <w:rFonts w:hint="default" w:ascii="Times New Roman" w:hAnsi="Times New Roman" w:cs="Times New Roman"/>
          <w:color w:val="auto"/>
          <w:sz w:val="24"/>
          <w:highlight w:val="none"/>
        </w:rPr>
        <w:t xml:space="preserve"> 55</w:t>
      </w:r>
      <w:r>
        <w:rPr>
          <w:rFonts w:hint="eastAsia" w:cs="Times New Roman"/>
          <w:color w:val="auto"/>
          <w:sz w:val="24"/>
          <w:highlight w:val="none"/>
          <w:lang w:val="en-US" w:eastAsia="zh-CN"/>
        </w:rPr>
        <w:t>)</w:t>
      </w:r>
      <w:r>
        <w:rPr>
          <w:rFonts w:hint="default" w:ascii="Times New Roman" w:hAnsi="Times New Roman" w:cs="Times New Roman"/>
          <w:color w:val="auto"/>
          <w:sz w:val="24"/>
          <w:highlight w:val="none"/>
        </w:rPr>
        <w:t>Hz</w:t>
      </w:r>
      <w:r>
        <w:rPr>
          <w:rFonts w:hint="eastAsia"/>
          <w:color w:val="auto"/>
          <w:sz w:val="24"/>
          <w:highlight w:val="none"/>
        </w:rPr>
        <w:t xml:space="preserve"> </w:t>
      </w:r>
      <w:r>
        <w:rPr>
          <w:rFonts w:hint="eastAsia"/>
          <w:sz w:val="24"/>
          <w:highlight w:val="none"/>
        </w:rPr>
        <w:t>工频范围。</w:t>
      </w:r>
    </w:p>
    <w:p w14:paraId="0AA598FE">
      <w:pPr>
        <w:spacing w:line="360" w:lineRule="auto"/>
        <w:ind w:firstLine="480" w:firstLineChars="200"/>
        <w:rPr>
          <w:highlight w:val="none"/>
        </w:rPr>
      </w:pPr>
      <w:r>
        <w:rPr>
          <w:rFonts w:hint="eastAsia"/>
          <w:sz w:val="24"/>
          <w:highlight w:val="none"/>
        </w:rPr>
        <w:t>环境条件差异化：</w:t>
      </w:r>
    </w:p>
    <w:p w14:paraId="6B66DA30">
      <w:pPr>
        <w:spacing w:line="360" w:lineRule="auto"/>
        <w:ind w:firstLine="480" w:firstLineChars="200"/>
        <w:rPr>
          <w:highlight w:val="none"/>
        </w:rPr>
      </w:pPr>
      <w:r>
        <w:rPr>
          <w:rFonts w:hint="eastAsia"/>
          <w:sz w:val="24"/>
          <w:highlight w:val="none"/>
        </w:rPr>
        <w:t>A 类检定：环境条件要求严格，建议温度为(20±2)℃，相对湿度为 35%～60%，以控制温度系数等影响因素</w:t>
      </w:r>
      <w:r>
        <w:rPr>
          <w:rFonts w:hint="eastAsia"/>
          <w:highlight w:val="none"/>
        </w:rPr>
        <w:t>。</w:t>
      </w:r>
    </w:p>
    <w:p w14:paraId="0519A204">
      <w:pPr>
        <w:spacing w:line="360" w:lineRule="auto"/>
        <w:ind w:firstLine="480" w:firstLineChars="200"/>
      </w:pPr>
      <w:r>
        <w:rPr>
          <w:rFonts w:hint="eastAsia"/>
          <w:sz w:val="24"/>
        </w:rPr>
        <w:t>B 类检定：环境条件可适度放宽，如温度为(20±5)℃或(20±10)℃，相对湿度为 35%～80%，更贴合其实际应用环境</w:t>
      </w:r>
      <w:r>
        <w:rPr>
          <w:rFonts w:hint="eastAsia"/>
        </w:rPr>
        <w:t>。</w:t>
      </w:r>
    </w:p>
    <w:p w14:paraId="65BC9D81">
      <w:pPr>
        <w:spacing w:line="360" w:lineRule="auto"/>
        <w:ind w:firstLine="480" w:firstLineChars="200"/>
      </w:pPr>
      <w:r>
        <w:rPr>
          <w:rFonts w:hint="eastAsia"/>
          <w:sz w:val="24"/>
        </w:rPr>
        <w:t>辅助设备：高压试验电源的电压稳定度（应优于被检 MPE 的 1/5）、调节细度及波形畸变率均须符合明确要求，是保证检定质量的重要前提。</w:t>
      </w:r>
    </w:p>
    <w:p w14:paraId="74B32C6A">
      <w:pPr>
        <w:numPr>
          <w:ilvl w:val="1"/>
          <w:numId w:val="2"/>
        </w:numPr>
        <w:spacing w:line="360" w:lineRule="auto"/>
        <w:outlineLvl w:val="2"/>
      </w:pPr>
      <w:r>
        <w:rPr>
          <w:rFonts w:hint="eastAsia"/>
          <w:sz w:val="24"/>
        </w:rPr>
        <w:t>对现行规程（JJG 496 - 2016）的主要修订内容</w:t>
      </w:r>
    </w:p>
    <w:p w14:paraId="29774EBB">
      <w:pPr>
        <w:spacing w:line="360" w:lineRule="auto"/>
        <w:ind w:firstLine="480" w:firstLineChars="200"/>
      </w:pPr>
      <w:r>
        <w:rPr>
          <w:rFonts w:hint="eastAsia"/>
          <w:sz w:val="24"/>
        </w:rPr>
        <w:t>本次修订充分吸纳了调研反馈与试验验证结果（参见《试验验证报告》），主要优化内容如下：</w:t>
      </w:r>
    </w:p>
    <w:p w14:paraId="3D7213B3">
      <w:pPr>
        <w:spacing w:line="360" w:lineRule="auto"/>
        <w:ind w:firstLine="480" w:firstLineChars="200"/>
      </w:pPr>
      <w:r>
        <w:rPr>
          <w:rFonts w:hint="eastAsia"/>
          <w:sz w:val="24"/>
        </w:rPr>
        <w:t>体系完善：新增 0.02 级与 0.2 级，使准确度等级划分更为科学、完整。</w:t>
      </w:r>
    </w:p>
    <w:p w14:paraId="732FD236">
      <w:pPr>
        <w:spacing w:line="360" w:lineRule="auto"/>
        <w:ind w:firstLine="480" w:firstLineChars="200"/>
      </w:pPr>
      <w:r>
        <w:rPr>
          <w:rFonts w:hint="eastAsia"/>
          <w:sz w:val="24"/>
        </w:rPr>
        <w:t>方法优化：剔除可操作性较低的“等功率电桥法”，将检定方法统一为直接比较法，并明确 A、B 类别的标准器配置要求，显著提升规程的可操作性。</w:t>
      </w:r>
    </w:p>
    <w:p w14:paraId="59CBD5CA">
      <w:pPr>
        <w:spacing w:line="360" w:lineRule="auto"/>
        <w:ind w:firstLine="480" w:firstLineChars="200"/>
      </w:pPr>
      <w:r>
        <w:rPr>
          <w:rFonts w:hint="eastAsia"/>
          <w:sz w:val="24"/>
        </w:rPr>
        <w:t>要求细化：增加“短时稳定性”考核项，区分规定“环境条件”，使技术要求更贴合实际应用情况。</w:t>
      </w:r>
    </w:p>
    <w:p w14:paraId="6E1FECA3">
      <w:pPr>
        <w:spacing w:line="360" w:lineRule="auto"/>
        <w:ind w:firstLine="480" w:firstLineChars="200"/>
      </w:pPr>
      <w:r>
        <w:rPr>
          <w:rFonts w:hint="eastAsia"/>
          <w:sz w:val="24"/>
        </w:rPr>
        <w:t xml:space="preserve">指导强化：以表格形式明确列出标准器配置要求，为各级检定机构建设检定能力提供清晰指引。 </w:t>
      </w:r>
    </w:p>
    <w:p w14:paraId="11D3D95C">
      <w:pPr>
        <w:pStyle w:val="2"/>
        <w:rPr>
          <w:rFonts w:ascii="Times New Roman" w:hAnsi="Times New Roman" w:cs="Times New Roman"/>
        </w:rPr>
      </w:pPr>
      <w:bookmarkStart w:id="18" w:name="_Toc11798"/>
      <w:r>
        <w:rPr>
          <w:rFonts w:hint="eastAsia" w:ascii="Times New Roman" w:hAnsi="Times New Roman" w:cs="Times New Roman"/>
        </w:rPr>
        <w:t>五、调研结论</w:t>
      </w:r>
      <w:bookmarkEnd w:id="18"/>
    </w:p>
    <w:p w14:paraId="59AE3DFC">
      <w:pPr>
        <w:spacing w:line="360" w:lineRule="auto"/>
        <w:ind w:firstLine="480" w:firstLineChars="200"/>
        <w:rPr>
          <w:highlight w:val="none"/>
        </w:rPr>
      </w:pPr>
      <w:r>
        <w:rPr>
          <w:rFonts w:hint="eastAsia"/>
          <w:sz w:val="24"/>
          <w:highlight w:val="none"/>
        </w:rPr>
        <w:t>基于本次全面调研结果，针对《工频高压分压器检定规程》的修订，提出以下结论与建议：</w:t>
      </w:r>
    </w:p>
    <w:p w14:paraId="185C0D79">
      <w:pPr>
        <w:spacing w:line="360" w:lineRule="auto"/>
        <w:ind w:firstLine="480" w:firstLineChars="200"/>
        <w:rPr>
          <w:highlight w:val="none"/>
        </w:rPr>
      </w:pPr>
      <w:r>
        <w:rPr>
          <w:rFonts w:hint="eastAsia"/>
          <w:sz w:val="24"/>
          <w:highlight w:val="none"/>
        </w:rPr>
        <w:t>确立分类与等级体系：规程中必须明确规定区分A类（计量标准用途）与B类（工程测量用途）。准确度等级体系应扩展至7级（0.02、0.05、0.1、0.2、0.5、1、2级），以全面覆盖从国家计量基准至现场工程试验的全链条需求。</w:t>
      </w:r>
    </w:p>
    <w:p w14:paraId="575F764C">
      <w:pPr>
        <w:spacing w:line="360" w:lineRule="auto"/>
        <w:ind w:firstLine="480" w:firstLineChars="200"/>
        <w:rPr>
          <w:sz w:val="24"/>
          <w:highlight w:val="none"/>
        </w:rPr>
      </w:pPr>
      <w:r>
        <w:rPr>
          <w:rFonts w:hint="eastAsia"/>
          <w:sz w:val="24"/>
          <w:highlight w:val="none"/>
        </w:rPr>
        <w:t>确定核心计量性能要求：</w:t>
      </w:r>
    </w:p>
    <w:p w14:paraId="2C0DFF9A">
      <w:pPr>
        <w:spacing w:line="360" w:lineRule="auto"/>
        <w:ind w:firstLine="480" w:firstLineChars="200"/>
        <w:rPr>
          <w:highlight w:val="none"/>
        </w:rPr>
      </w:pPr>
      <w:r>
        <w:rPr>
          <w:rFonts w:hint="eastAsia"/>
          <w:sz w:val="24"/>
          <w:highlight w:val="none"/>
        </w:rPr>
        <w:t>范围：明确规程适用于额定电压高于1 kV、频率范围在45 Hz至55 Hz的工频高压分压器。</w:t>
      </w:r>
    </w:p>
    <w:p w14:paraId="5F3D1F63">
      <w:pPr>
        <w:spacing w:line="360" w:lineRule="auto"/>
        <w:ind w:firstLine="480" w:firstLineChars="200"/>
      </w:pPr>
      <w:r>
        <w:rPr>
          <w:rFonts w:hint="eastAsia"/>
          <w:sz w:val="24"/>
          <w:highlight w:val="none"/>
        </w:rPr>
        <w:t>最大允许误差：A类分压器需同时规定比值差与相位差（相位差要求应与</w:t>
      </w:r>
      <w:r>
        <w:rPr>
          <w:rFonts w:hint="eastAsia"/>
          <w:sz w:val="24"/>
        </w:rPr>
        <w:t>JJG 314协调一致）；B类分压器仅规定基本误差。</w:t>
      </w:r>
    </w:p>
    <w:p w14:paraId="6EB92F79">
      <w:pPr>
        <w:spacing w:line="360" w:lineRule="auto"/>
        <w:ind w:firstLine="480" w:firstLineChars="200"/>
      </w:pPr>
      <w:r>
        <w:rPr>
          <w:rFonts w:hint="eastAsia"/>
          <w:sz w:val="24"/>
        </w:rPr>
        <w:t>关键指标：将升降压变差（≤MPE/3）及短时稳定性（30分钟内变化量≤MPE/3）列为所有分压器的必备计量性能要求。</w:t>
      </w:r>
    </w:p>
    <w:p w14:paraId="29C9CEB6">
      <w:pPr>
        <w:spacing w:line="360" w:lineRule="auto"/>
        <w:ind w:firstLine="480" w:firstLineChars="200"/>
      </w:pPr>
      <w:r>
        <w:rPr>
          <w:rFonts w:hint="eastAsia"/>
          <w:sz w:val="24"/>
        </w:rPr>
        <w:t>实施差异化与现代化的检定方案：</w:t>
      </w:r>
    </w:p>
    <w:p w14:paraId="4ABFA7F2">
      <w:pPr>
        <w:spacing w:line="360" w:lineRule="auto"/>
        <w:ind w:firstLine="480" w:firstLineChars="200"/>
      </w:pPr>
      <w:r>
        <w:rPr>
          <w:rFonts w:hint="eastAsia"/>
          <w:sz w:val="24"/>
        </w:rPr>
        <w:t>检定环境：实行差异化的温湿度控制要求，A类严格管控，B类适度放宽，以体现科学性与经济性。</w:t>
      </w:r>
    </w:p>
    <w:p w14:paraId="2DF37699">
      <w:pPr>
        <w:spacing w:line="360" w:lineRule="auto"/>
        <w:ind w:firstLine="480" w:firstLineChars="200"/>
        <w:rPr>
          <w:sz w:val="24"/>
        </w:rPr>
      </w:pPr>
      <w:r>
        <w:rPr>
          <w:rFonts w:hint="eastAsia"/>
          <w:sz w:val="24"/>
        </w:rPr>
        <w:t>标准装置与路径：</w:t>
      </w:r>
    </w:p>
    <w:p w14:paraId="3BF95E1B">
      <w:pPr>
        <w:spacing w:line="360" w:lineRule="auto"/>
        <w:ind w:firstLine="480" w:firstLineChars="200"/>
      </w:pPr>
      <w:r>
        <w:rPr>
          <w:rFonts w:hint="eastAsia"/>
          <w:sz w:val="24"/>
        </w:rPr>
        <w:t>检定A类：优先推荐采用技术先进的高准确度双通道数字同步采样装置，或采用0.005级标准电压互感器（PT）与0.0005级感应分压器（IVD）的传统组合。</w:t>
      </w:r>
    </w:p>
    <w:p w14:paraId="3C426908">
      <w:pPr>
        <w:spacing w:line="360" w:lineRule="auto"/>
        <w:ind w:firstLine="480" w:firstLineChars="200"/>
      </w:pPr>
      <w:r>
        <w:rPr>
          <w:rFonts w:hint="eastAsia"/>
          <w:sz w:val="24"/>
        </w:rPr>
        <w:t>检定B类：推广采用标准电压互感器（或分压器）与数字电压表计的组合装置，该装置的允许误差限不得大于被检分压器最大允许误差（MPE）的四分之一。</w:t>
      </w:r>
    </w:p>
    <w:p w14:paraId="5993C3D0">
      <w:pPr>
        <w:spacing w:line="360" w:lineRule="auto"/>
        <w:ind w:firstLine="480" w:firstLineChars="200"/>
        <w:rPr>
          <w:sz w:val="24"/>
        </w:rPr>
      </w:pPr>
      <w:r>
        <w:rPr>
          <w:rFonts w:hint="eastAsia"/>
          <w:sz w:val="24"/>
        </w:rPr>
        <w:t>检定方法：统一采用</w:t>
      </w:r>
      <w:bookmarkStart w:id="22" w:name="_GoBack"/>
      <w:bookmarkEnd w:id="22"/>
      <w:r>
        <w:rPr>
          <w:rFonts w:hint="eastAsia"/>
          <w:sz w:val="24"/>
        </w:rPr>
        <w:t>比较法，并固化上述两类技术路径。</w:t>
      </w:r>
    </w:p>
    <w:p w14:paraId="62A1DE69">
      <w:pPr>
        <w:spacing w:line="360" w:lineRule="auto"/>
        <w:ind w:firstLine="480" w:firstLineChars="200"/>
      </w:pPr>
      <w:r>
        <w:rPr>
          <w:rFonts w:hint="eastAsia"/>
          <w:sz w:val="24"/>
        </w:rPr>
        <w:t>实施建议：建议将检定周期设定为一年。新规程发布后，应组织面向全国计量检定机构、高压试验单位及生产企业的专项宣贯与培训活动，以确保规程的正确执行。本次修订将显著提升我国工频高压分压器量值传递的规范性、一致性与技术水平，为电力能源安全与高质量发展提供坚实的计量保障。</w:t>
      </w:r>
    </w:p>
    <w:p w14:paraId="45C8D2EE">
      <w:pPr>
        <w:rPr>
          <w:color w:val="808080" w:themeColor="text1" w:themeTint="80"/>
          <w:sz w:val="24"/>
          <w14:textFill>
            <w14:solidFill>
              <w14:schemeClr w14:val="tx1">
                <w14:lumMod w14:val="50000"/>
                <w14:lumOff w14:val="50000"/>
              </w14:schemeClr>
            </w14:solidFill>
          </w14:textFill>
        </w:rPr>
      </w:pPr>
    </w:p>
    <w:p w14:paraId="78F5E46B">
      <w:pPr>
        <w:pStyle w:val="24"/>
        <w:spacing w:line="360" w:lineRule="auto"/>
        <w:ind w:firstLine="200" w:firstLineChars="0"/>
        <w:rPr>
          <w:color w:val="808080" w:themeColor="text1" w:themeTint="80"/>
          <w:sz w:val="24"/>
          <w14:textFill>
            <w14:solidFill>
              <w14:schemeClr w14:val="tx1">
                <w14:lumMod w14:val="50000"/>
                <w14:lumOff w14:val="50000"/>
              </w14:schemeClr>
            </w14:solidFill>
          </w14:textFill>
        </w:rPr>
        <w:sectPr>
          <w:footerReference r:id="rId5" w:type="default"/>
          <w:pgSz w:w="11906" w:h="16838"/>
          <w:pgMar w:top="1440" w:right="1800" w:bottom="1440" w:left="1800" w:header="851" w:footer="992" w:gutter="0"/>
          <w:pgNumType w:start="1"/>
          <w:cols w:space="425" w:num="1"/>
          <w:docGrid w:type="lines" w:linePitch="312" w:charSpace="0"/>
        </w:sectPr>
      </w:pPr>
    </w:p>
    <w:p w14:paraId="713A1C90">
      <w:pPr>
        <w:spacing w:line="360" w:lineRule="auto"/>
        <w:outlineLvl w:val="0"/>
        <w:rPr>
          <w:sz w:val="24"/>
        </w:rPr>
      </w:pPr>
      <w:bookmarkStart w:id="19" w:name="_Toc9083"/>
      <w:r>
        <w:rPr>
          <w:sz w:val="24"/>
        </w:rPr>
        <w:t xml:space="preserve">附表1 </w:t>
      </w:r>
      <w:r>
        <w:rPr>
          <w:rFonts w:hint="eastAsia"/>
          <w:sz w:val="24"/>
        </w:rPr>
        <w:t>工频高压分压器主要应用场景与计量需求分析</w:t>
      </w:r>
      <w:bookmarkEnd w:id="19"/>
    </w:p>
    <w:tbl>
      <w:tblPr>
        <w:tblStyle w:val="17"/>
        <w:tblW w:w="14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1547"/>
        <w:gridCol w:w="3274"/>
        <w:gridCol w:w="2099"/>
        <w:gridCol w:w="3115"/>
        <w:gridCol w:w="2479"/>
      </w:tblGrid>
      <w:tr w14:paraId="5A447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blHeader/>
          <w:jc w:val="center"/>
        </w:trPr>
        <w:tc>
          <w:tcPr>
            <w:tcW w:w="1660" w:type="dxa"/>
            <w:vAlign w:val="center"/>
          </w:tcPr>
          <w:p w14:paraId="46BCA537">
            <w:pPr>
              <w:widowControl/>
              <w:snapToGrid w:val="0"/>
              <w:jc w:val="center"/>
              <w:textAlignment w:val="top"/>
              <w:rPr>
                <w:rFonts w:hint="eastAsia" w:ascii="黑体" w:hAnsi="黑体" w:eastAsia="黑体" w:cs="黑体"/>
                <w:b/>
                <w:sz w:val="24"/>
              </w:rPr>
            </w:pPr>
            <w:r>
              <w:rPr>
                <w:rFonts w:hint="eastAsia" w:ascii="黑体" w:hAnsi="黑体" w:eastAsia="黑体" w:cs="黑体"/>
                <w:b/>
                <w:kern w:val="0"/>
                <w:sz w:val="24"/>
                <w:lang w:bidi="ar"/>
              </w:rPr>
              <w:t>应用类别</w:t>
            </w:r>
          </w:p>
        </w:tc>
        <w:tc>
          <w:tcPr>
            <w:tcW w:w="1547" w:type="dxa"/>
            <w:vAlign w:val="center"/>
          </w:tcPr>
          <w:p w14:paraId="2568630C">
            <w:pPr>
              <w:widowControl/>
              <w:snapToGrid w:val="0"/>
              <w:jc w:val="center"/>
              <w:textAlignment w:val="top"/>
              <w:rPr>
                <w:rFonts w:hint="eastAsia" w:ascii="黑体" w:hAnsi="黑体" w:eastAsia="黑体" w:cs="黑体"/>
                <w:b/>
                <w:sz w:val="24"/>
              </w:rPr>
            </w:pPr>
            <w:r>
              <w:rPr>
                <w:rFonts w:hint="eastAsia" w:ascii="黑体" w:hAnsi="黑体" w:eastAsia="黑体" w:cs="黑体"/>
                <w:b/>
                <w:kern w:val="0"/>
                <w:sz w:val="24"/>
                <w:lang w:bidi="ar"/>
              </w:rPr>
              <w:t>典型场景</w:t>
            </w:r>
          </w:p>
        </w:tc>
        <w:tc>
          <w:tcPr>
            <w:tcW w:w="3274" w:type="dxa"/>
            <w:vAlign w:val="center"/>
          </w:tcPr>
          <w:p w14:paraId="544EF00F">
            <w:pPr>
              <w:widowControl/>
              <w:snapToGrid w:val="0"/>
              <w:jc w:val="center"/>
              <w:textAlignment w:val="top"/>
              <w:rPr>
                <w:rFonts w:hint="eastAsia" w:ascii="黑体" w:hAnsi="黑体" w:eastAsia="黑体" w:cs="黑体"/>
                <w:b/>
                <w:sz w:val="24"/>
              </w:rPr>
            </w:pPr>
            <w:r>
              <w:rPr>
                <w:rFonts w:hint="eastAsia" w:ascii="黑体" w:hAnsi="黑体" w:eastAsia="黑体" w:cs="黑体"/>
                <w:b/>
                <w:kern w:val="0"/>
                <w:sz w:val="24"/>
                <w:lang w:bidi="ar"/>
              </w:rPr>
              <w:t>核心计量需求</w:t>
            </w:r>
          </w:p>
        </w:tc>
        <w:tc>
          <w:tcPr>
            <w:tcW w:w="2099" w:type="dxa"/>
            <w:vAlign w:val="center"/>
          </w:tcPr>
          <w:p w14:paraId="4E902E85">
            <w:pPr>
              <w:widowControl/>
              <w:snapToGrid w:val="0"/>
              <w:jc w:val="center"/>
              <w:textAlignment w:val="top"/>
              <w:rPr>
                <w:rFonts w:hint="eastAsia" w:ascii="黑体" w:hAnsi="黑体" w:eastAsia="黑体" w:cs="黑体"/>
                <w:b/>
                <w:sz w:val="24"/>
              </w:rPr>
            </w:pPr>
            <w:r>
              <w:rPr>
                <w:rFonts w:hint="eastAsia" w:ascii="黑体" w:hAnsi="黑体" w:eastAsia="黑体" w:cs="黑体"/>
                <w:b/>
                <w:kern w:val="0"/>
                <w:sz w:val="24"/>
                <w:lang w:bidi="ar"/>
              </w:rPr>
              <w:t>准确度等级需求</w:t>
            </w:r>
          </w:p>
        </w:tc>
        <w:tc>
          <w:tcPr>
            <w:tcW w:w="3115" w:type="dxa"/>
            <w:vAlign w:val="center"/>
          </w:tcPr>
          <w:p w14:paraId="526ED3DB">
            <w:pPr>
              <w:widowControl/>
              <w:snapToGrid w:val="0"/>
              <w:jc w:val="center"/>
              <w:textAlignment w:val="top"/>
              <w:rPr>
                <w:rFonts w:hint="eastAsia" w:ascii="黑体" w:hAnsi="黑体" w:eastAsia="黑体" w:cs="黑体"/>
                <w:b/>
                <w:sz w:val="24"/>
              </w:rPr>
            </w:pPr>
            <w:r>
              <w:rPr>
                <w:rFonts w:hint="eastAsia" w:ascii="黑体" w:hAnsi="黑体" w:eastAsia="黑体" w:cs="黑体"/>
                <w:b/>
                <w:kern w:val="0"/>
                <w:sz w:val="24"/>
                <w:lang w:bidi="ar"/>
              </w:rPr>
              <w:t>环境特点</w:t>
            </w:r>
          </w:p>
        </w:tc>
        <w:tc>
          <w:tcPr>
            <w:tcW w:w="2479" w:type="dxa"/>
            <w:vAlign w:val="center"/>
          </w:tcPr>
          <w:p w14:paraId="22F5190F">
            <w:pPr>
              <w:widowControl/>
              <w:snapToGrid w:val="0"/>
              <w:jc w:val="center"/>
              <w:textAlignment w:val="top"/>
              <w:rPr>
                <w:rFonts w:hint="eastAsia" w:ascii="黑体" w:hAnsi="黑体" w:eastAsia="黑体" w:cs="黑体"/>
                <w:b/>
                <w:sz w:val="24"/>
              </w:rPr>
            </w:pPr>
            <w:r>
              <w:rPr>
                <w:rFonts w:hint="eastAsia" w:ascii="黑体" w:hAnsi="黑体" w:eastAsia="黑体" w:cs="黑体"/>
                <w:b/>
                <w:kern w:val="0"/>
                <w:sz w:val="24"/>
                <w:lang w:bidi="ar"/>
              </w:rPr>
              <w:t>关键性能</w:t>
            </w:r>
          </w:p>
        </w:tc>
      </w:tr>
      <w:tr w14:paraId="367D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Align w:val="center"/>
          </w:tcPr>
          <w:p w14:paraId="645C9CAB">
            <w:pPr>
              <w:snapToGrid w:val="0"/>
              <w:jc w:val="center"/>
              <w:rPr>
                <w:rFonts w:ascii="宋体"/>
                <w:sz w:val="24"/>
                <w:szCs w:val="28"/>
              </w:rPr>
            </w:pPr>
            <w:r>
              <w:rPr>
                <w:rStyle w:val="19"/>
                <w:rFonts w:ascii="宋体" w:hAnsi="宋体" w:cs="宋体"/>
                <w:sz w:val="24"/>
              </w:rPr>
              <w:t>A类（标准）</w:t>
            </w:r>
          </w:p>
        </w:tc>
        <w:tc>
          <w:tcPr>
            <w:tcW w:w="1547" w:type="dxa"/>
            <w:vAlign w:val="center"/>
          </w:tcPr>
          <w:p w14:paraId="7B3ECB94">
            <w:pPr>
              <w:snapToGrid w:val="0"/>
              <w:jc w:val="center"/>
              <w:rPr>
                <w:rFonts w:ascii="宋体"/>
                <w:sz w:val="24"/>
                <w:szCs w:val="28"/>
              </w:rPr>
            </w:pPr>
            <w:r>
              <w:rPr>
                <w:rFonts w:ascii="宋体" w:hAnsi="宋体" w:cs="宋体"/>
                <w:sz w:val="24"/>
              </w:rPr>
              <w:t>国家级/省级计量标准</w:t>
            </w:r>
          </w:p>
        </w:tc>
        <w:tc>
          <w:tcPr>
            <w:tcW w:w="3274" w:type="dxa"/>
            <w:vAlign w:val="center"/>
          </w:tcPr>
          <w:p w14:paraId="66927A3E">
            <w:pPr>
              <w:snapToGrid w:val="0"/>
              <w:jc w:val="center"/>
              <w:rPr>
                <w:rFonts w:ascii="宋体"/>
                <w:sz w:val="24"/>
                <w:szCs w:val="28"/>
              </w:rPr>
            </w:pPr>
            <w:r>
              <w:rPr>
                <w:rFonts w:ascii="宋体" w:hAnsi="宋体" w:cs="宋体"/>
                <w:sz w:val="24"/>
              </w:rPr>
              <w:t>比值差、相位差、长期稳定</w:t>
            </w:r>
          </w:p>
        </w:tc>
        <w:tc>
          <w:tcPr>
            <w:tcW w:w="2099" w:type="dxa"/>
            <w:vAlign w:val="center"/>
          </w:tcPr>
          <w:p w14:paraId="34578053">
            <w:pPr>
              <w:snapToGrid w:val="0"/>
              <w:jc w:val="left"/>
              <w:rPr>
                <w:rFonts w:ascii="宋体"/>
                <w:sz w:val="24"/>
                <w:szCs w:val="28"/>
              </w:rPr>
            </w:pPr>
            <w:r>
              <w:rPr>
                <w:rFonts w:ascii="宋体" w:hAnsi="宋体" w:cs="宋体"/>
                <w:sz w:val="24"/>
              </w:rPr>
              <w:t>0.02级， 0.05级</w:t>
            </w:r>
          </w:p>
        </w:tc>
        <w:tc>
          <w:tcPr>
            <w:tcW w:w="3115" w:type="dxa"/>
            <w:vAlign w:val="center"/>
          </w:tcPr>
          <w:p w14:paraId="639FBB9D">
            <w:pPr>
              <w:snapToGrid w:val="0"/>
              <w:jc w:val="center"/>
              <w:rPr>
                <w:rFonts w:ascii="宋体"/>
                <w:sz w:val="24"/>
                <w:szCs w:val="28"/>
              </w:rPr>
            </w:pPr>
            <w:r>
              <w:rPr>
                <w:rFonts w:hint="eastAsia" w:ascii="宋体" w:hAnsi="宋体" w:cs="宋体"/>
                <w:sz w:val="24"/>
              </w:rPr>
              <w:t>计量试验</w:t>
            </w:r>
            <w:r>
              <w:rPr>
                <w:rFonts w:ascii="宋体" w:hAnsi="宋体" w:cs="宋体"/>
                <w:sz w:val="24"/>
              </w:rPr>
              <w:t>室</w:t>
            </w:r>
            <w:r>
              <w:rPr>
                <w:rFonts w:hint="eastAsia" w:ascii="宋体" w:hAnsi="宋体" w:cs="宋体"/>
                <w:sz w:val="24"/>
              </w:rPr>
              <w:t>，</w:t>
            </w:r>
            <w:r>
              <w:rPr>
                <w:rFonts w:ascii="宋体" w:hAnsi="宋体" w:cs="宋体"/>
                <w:sz w:val="24"/>
              </w:rPr>
              <w:t>受控</w:t>
            </w:r>
          </w:p>
        </w:tc>
        <w:tc>
          <w:tcPr>
            <w:tcW w:w="2479" w:type="dxa"/>
            <w:vAlign w:val="center"/>
          </w:tcPr>
          <w:p w14:paraId="5294EF00">
            <w:pPr>
              <w:snapToGrid w:val="0"/>
              <w:jc w:val="left"/>
              <w:rPr>
                <w:rFonts w:ascii="宋体"/>
                <w:sz w:val="24"/>
                <w:szCs w:val="28"/>
              </w:rPr>
            </w:pPr>
            <w:r>
              <w:rPr>
                <w:rFonts w:ascii="宋体" w:hAnsi="宋体" w:cs="宋体"/>
                <w:sz w:val="24"/>
              </w:rPr>
              <w:t>极限</w:t>
            </w:r>
            <w:r>
              <w:rPr>
                <w:rFonts w:hint="eastAsia" w:ascii="宋体" w:hAnsi="宋体" w:cs="宋体"/>
                <w:sz w:val="24"/>
              </w:rPr>
              <w:t>准确度</w:t>
            </w:r>
            <w:r>
              <w:rPr>
                <w:rFonts w:ascii="宋体" w:hAnsi="宋体" w:cs="宋体"/>
                <w:sz w:val="24"/>
              </w:rPr>
              <w:t>、低相位差、高稳定</w:t>
            </w:r>
          </w:p>
        </w:tc>
      </w:tr>
      <w:tr w14:paraId="43130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Align w:val="center"/>
          </w:tcPr>
          <w:p w14:paraId="0B0E7057">
            <w:pPr>
              <w:snapToGrid w:val="0"/>
              <w:jc w:val="center"/>
              <w:rPr>
                <w:rFonts w:ascii="宋体"/>
                <w:sz w:val="24"/>
                <w:szCs w:val="28"/>
              </w:rPr>
            </w:pPr>
          </w:p>
        </w:tc>
        <w:tc>
          <w:tcPr>
            <w:tcW w:w="1547" w:type="dxa"/>
            <w:vAlign w:val="center"/>
          </w:tcPr>
          <w:p w14:paraId="65A42813">
            <w:pPr>
              <w:snapToGrid w:val="0"/>
              <w:jc w:val="center"/>
              <w:rPr>
                <w:rFonts w:ascii="宋体"/>
                <w:sz w:val="24"/>
                <w:szCs w:val="28"/>
              </w:rPr>
            </w:pPr>
            <w:r>
              <w:rPr>
                <w:rFonts w:ascii="宋体" w:hAnsi="Segoe UI" w:cs="Segoe UI"/>
                <w:sz w:val="24"/>
                <w:szCs w:val="16"/>
                <w:shd w:val="clear" w:color="auto" w:fill="FFFFFF"/>
              </w:rPr>
              <w:t>高电压测量系统校准</w:t>
            </w:r>
          </w:p>
        </w:tc>
        <w:tc>
          <w:tcPr>
            <w:tcW w:w="3274" w:type="dxa"/>
            <w:vAlign w:val="center"/>
          </w:tcPr>
          <w:p w14:paraId="75CEDF40">
            <w:pPr>
              <w:snapToGrid w:val="0"/>
              <w:jc w:val="center"/>
              <w:rPr>
                <w:rFonts w:ascii="宋体"/>
                <w:sz w:val="24"/>
                <w:szCs w:val="28"/>
              </w:rPr>
            </w:pPr>
            <w:r>
              <w:rPr>
                <w:rFonts w:ascii="宋体" w:hAnsi="Segoe UI" w:cs="Segoe UI"/>
                <w:sz w:val="24"/>
                <w:szCs w:val="16"/>
                <w:shd w:val="clear" w:color="auto" w:fill="FFFFFF"/>
              </w:rPr>
              <w:t>比例系数准确传递</w:t>
            </w:r>
          </w:p>
        </w:tc>
        <w:tc>
          <w:tcPr>
            <w:tcW w:w="2099" w:type="dxa"/>
            <w:vAlign w:val="center"/>
          </w:tcPr>
          <w:p w14:paraId="15C01395">
            <w:pPr>
              <w:snapToGrid w:val="0"/>
              <w:jc w:val="left"/>
              <w:rPr>
                <w:rFonts w:ascii="宋体"/>
                <w:sz w:val="24"/>
                <w:szCs w:val="28"/>
              </w:rPr>
            </w:pPr>
            <w:r>
              <w:rPr>
                <w:rFonts w:hint="eastAsia" w:ascii="宋体"/>
                <w:sz w:val="24"/>
                <w:szCs w:val="28"/>
              </w:rPr>
              <w:t>0.05级， 0.1级</w:t>
            </w:r>
          </w:p>
        </w:tc>
        <w:tc>
          <w:tcPr>
            <w:tcW w:w="3115" w:type="dxa"/>
            <w:vAlign w:val="center"/>
          </w:tcPr>
          <w:p w14:paraId="3D216E06">
            <w:pPr>
              <w:snapToGrid w:val="0"/>
              <w:jc w:val="center"/>
              <w:rPr>
                <w:rFonts w:ascii="宋体"/>
                <w:sz w:val="24"/>
                <w:szCs w:val="28"/>
              </w:rPr>
            </w:pPr>
            <w:r>
              <w:rPr>
                <w:rFonts w:ascii="宋体" w:hAnsi="Segoe UI" w:cs="Segoe UI"/>
                <w:sz w:val="24"/>
                <w:szCs w:val="16"/>
                <w:shd w:val="clear" w:color="auto" w:fill="FFFFFF"/>
              </w:rPr>
              <w:t>标准</w:t>
            </w:r>
            <w:r>
              <w:rPr>
                <w:rFonts w:hint="eastAsia" w:ascii="宋体" w:hAnsi="Segoe UI" w:cs="Segoe UI"/>
                <w:sz w:val="24"/>
                <w:szCs w:val="16"/>
                <w:shd w:val="clear" w:color="auto" w:fill="FFFFFF"/>
              </w:rPr>
              <w:t>试验</w:t>
            </w:r>
            <w:r>
              <w:rPr>
                <w:rFonts w:ascii="宋体" w:hAnsi="Segoe UI" w:cs="Segoe UI"/>
                <w:sz w:val="24"/>
                <w:szCs w:val="16"/>
                <w:shd w:val="clear" w:color="auto" w:fill="FFFFFF"/>
              </w:rPr>
              <w:t>室</w:t>
            </w:r>
          </w:p>
        </w:tc>
        <w:tc>
          <w:tcPr>
            <w:tcW w:w="2479" w:type="dxa"/>
            <w:vAlign w:val="center"/>
          </w:tcPr>
          <w:p w14:paraId="1063D433">
            <w:pPr>
              <w:snapToGrid w:val="0"/>
              <w:jc w:val="left"/>
              <w:rPr>
                <w:rFonts w:ascii="宋体"/>
                <w:sz w:val="24"/>
                <w:szCs w:val="28"/>
              </w:rPr>
            </w:pPr>
            <w:r>
              <w:rPr>
                <w:rFonts w:ascii="宋体" w:hAnsi="Segoe UI" w:cs="Segoe UI"/>
                <w:sz w:val="24"/>
                <w:szCs w:val="16"/>
                <w:shd w:val="clear" w:color="auto" w:fill="FFFFFF"/>
              </w:rPr>
              <w:t>良好线性度</w:t>
            </w:r>
          </w:p>
        </w:tc>
      </w:tr>
      <w:tr w14:paraId="50049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Align w:val="center"/>
          </w:tcPr>
          <w:p w14:paraId="21D992A6">
            <w:pPr>
              <w:snapToGrid w:val="0"/>
              <w:jc w:val="center"/>
              <w:rPr>
                <w:rFonts w:ascii="宋体"/>
                <w:sz w:val="24"/>
                <w:szCs w:val="28"/>
              </w:rPr>
            </w:pPr>
            <w:r>
              <w:rPr>
                <w:rStyle w:val="19"/>
                <w:rFonts w:ascii="宋体" w:hAnsi="宋体" w:cs="宋体"/>
                <w:sz w:val="24"/>
              </w:rPr>
              <w:t>B类（工程）</w:t>
            </w:r>
          </w:p>
        </w:tc>
        <w:tc>
          <w:tcPr>
            <w:tcW w:w="1547" w:type="dxa"/>
            <w:vAlign w:val="center"/>
          </w:tcPr>
          <w:p w14:paraId="12ECA3DB">
            <w:pPr>
              <w:snapToGrid w:val="0"/>
              <w:jc w:val="center"/>
              <w:rPr>
                <w:rFonts w:ascii="宋体"/>
                <w:sz w:val="24"/>
                <w:szCs w:val="28"/>
              </w:rPr>
            </w:pPr>
            <w:r>
              <w:rPr>
                <w:rFonts w:ascii="宋体" w:hAnsi="Segoe UI" w:cs="Segoe UI"/>
                <w:sz w:val="24"/>
                <w:szCs w:val="16"/>
                <w:shd w:val="clear" w:color="auto" w:fill="FFFFFF"/>
              </w:rPr>
              <w:t>高压电器出厂测试</w:t>
            </w:r>
          </w:p>
        </w:tc>
        <w:tc>
          <w:tcPr>
            <w:tcW w:w="3274" w:type="dxa"/>
            <w:vAlign w:val="center"/>
          </w:tcPr>
          <w:p w14:paraId="53A5A4C6">
            <w:pPr>
              <w:snapToGrid w:val="0"/>
              <w:jc w:val="center"/>
              <w:rPr>
                <w:rFonts w:ascii="宋体"/>
                <w:sz w:val="24"/>
                <w:szCs w:val="28"/>
              </w:rPr>
            </w:pPr>
            <w:r>
              <w:rPr>
                <w:rFonts w:ascii="宋体" w:hAnsi="Segoe UI" w:cs="Segoe UI"/>
                <w:sz w:val="24"/>
                <w:szCs w:val="16"/>
                <w:shd w:val="clear" w:color="auto" w:fill="FFFFFF"/>
              </w:rPr>
              <w:t>分压比误差、重复性</w:t>
            </w:r>
          </w:p>
        </w:tc>
        <w:tc>
          <w:tcPr>
            <w:tcW w:w="2099" w:type="dxa"/>
            <w:vAlign w:val="center"/>
          </w:tcPr>
          <w:p w14:paraId="3F3B1E5A">
            <w:pPr>
              <w:snapToGrid w:val="0"/>
              <w:jc w:val="left"/>
              <w:rPr>
                <w:rFonts w:ascii="宋体"/>
                <w:sz w:val="24"/>
                <w:szCs w:val="28"/>
              </w:rPr>
            </w:pPr>
            <w:r>
              <w:rPr>
                <w:rFonts w:ascii="宋体" w:hAnsi="Segoe UI" w:cs="Segoe UI"/>
                <w:sz w:val="24"/>
                <w:szCs w:val="16"/>
                <w:shd w:val="clear" w:color="auto" w:fill="FFFFFF"/>
              </w:rPr>
              <w:t>0.2级， 0.5级</w:t>
            </w:r>
          </w:p>
        </w:tc>
        <w:tc>
          <w:tcPr>
            <w:tcW w:w="3115" w:type="dxa"/>
            <w:vAlign w:val="center"/>
          </w:tcPr>
          <w:p w14:paraId="1DEB8833">
            <w:pPr>
              <w:snapToGrid w:val="0"/>
              <w:jc w:val="center"/>
              <w:rPr>
                <w:rFonts w:ascii="宋体"/>
                <w:sz w:val="24"/>
                <w:szCs w:val="28"/>
              </w:rPr>
            </w:pPr>
            <w:r>
              <w:rPr>
                <w:rFonts w:ascii="宋体" w:hAnsi="Segoe UI" w:cs="Segoe UI"/>
                <w:sz w:val="24"/>
                <w:szCs w:val="16"/>
                <w:shd w:val="clear" w:color="auto" w:fill="FFFFFF"/>
              </w:rPr>
              <w:t>生产车间</w:t>
            </w:r>
          </w:p>
        </w:tc>
        <w:tc>
          <w:tcPr>
            <w:tcW w:w="2479" w:type="dxa"/>
            <w:vAlign w:val="center"/>
          </w:tcPr>
          <w:p w14:paraId="4706A5A6">
            <w:pPr>
              <w:snapToGrid w:val="0"/>
              <w:jc w:val="left"/>
              <w:rPr>
                <w:rFonts w:ascii="宋体"/>
                <w:sz w:val="24"/>
                <w:szCs w:val="28"/>
              </w:rPr>
            </w:pPr>
            <w:r>
              <w:rPr>
                <w:rFonts w:ascii="宋体" w:hAnsi="Segoe UI" w:cs="Segoe UI"/>
                <w:sz w:val="24"/>
                <w:szCs w:val="16"/>
                <w:shd w:val="clear" w:color="auto" w:fill="FFFFFF"/>
              </w:rPr>
              <w:t>耐用、快速、易操作</w:t>
            </w:r>
          </w:p>
        </w:tc>
      </w:tr>
      <w:tr w14:paraId="15BD1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Align w:val="center"/>
          </w:tcPr>
          <w:p w14:paraId="41FD5D2E">
            <w:pPr>
              <w:snapToGrid w:val="0"/>
              <w:jc w:val="center"/>
              <w:rPr>
                <w:rFonts w:ascii="宋体"/>
                <w:sz w:val="24"/>
                <w:szCs w:val="28"/>
              </w:rPr>
            </w:pPr>
          </w:p>
        </w:tc>
        <w:tc>
          <w:tcPr>
            <w:tcW w:w="1547" w:type="dxa"/>
            <w:vAlign w:val="center"/>
          </w:tcPr>
          <w:p w14:paraId="538F9967">
            <w:pPr>
              <w:snapToGrid w:val="0"/>
              <w:jc w:val="center"/>
              <w:rPr>
                <w:rFonts w:ascii="宋体"/>
                <w:sz w:val="24"/>
                <w:szCs w:val="28"/>
              </w:rPr>
            </w:pPr>
            <w:r>
              <w:rPr>
                <w:rFonts w:ascii="宋体" w:hAnsi="宋体" w:cs="宋体"/>
                <w:sz w:val="24"/>
              </w:rPr>
              <w:t>电力设备工频耐压试验</w:t>
            </w:r>
          </w:p>
        </w:tc>
        <w:tc>
          <w:tcPr>
            <w:tcW w:w="3274" w:type="dxa"/>
            <w:vAlign w:val="center"/>
          </w:tcPr>
          <w:p w14:paraId="2CAED00B">
            <w:pPr>
              <w:snapToGrid w:val="0"/>
              <w:jc w:val="center"/>
              <w:rPr>
                <w:rFonts w:ascii="宋体"/>
                <w:sz w:val="24"/>
                <w:szCs w:val="28"/>
              </w:rPr>
            </w:pPr>
            <w:r>
              <w:rPr>
                <w:rFonts w:ascii="宋体" w:hAnsi="宋体" w:cs="宋体"/>
                <w:sz w:val="24"/>
              </w:rPr>
              <w:t>分压比基本误差、短期稳定</w:t>
            </w:r>
            <w:r>
              <w:rPr>
                <w:rFonts w:hint="eastAsia" w:ascii="宋体" w:hAnsi="宋体" w:cs="宋体"/>
                <w:sz w:val="24"/>
              </w:rPr>
              <w:t>性</w:t>
            </w:r>
          </w:p>
        </w:tc>
        <w:tc>
          <w:tcPr>
            <w:tcW w:w="2099" w:type="dxa"/>
            <w:vAlign w:val="center"/>
          </w:tcPr>
          <w:p w14:paraId="728887BF">
            <w:pPr>
              <w:snapToGrid w:val="0"/>
              <w:jc w:val="left"/>
              <w:rPr>
                <w:rFonts w:ascii="宋体"/>
                <w:sz w:val="24"/>
                <w:szCs w:val="28"/>
              </w:rPr>
            </w:pPr>
            <w:r>
              <w:rPr>
                <w:rFonts w:ascii="宋体" w:hAnsi="宋体" w:cs="宋体"/>
                <w:sz w:val="24"/>
              </w:rPr>
              <w:t>0.5级， 1级， 2级</w:t>
            </w:r>
          </w:p>
        </w:tc>
        <w:tc>
          <w:tcPr>
            <w:tcW w:w="3115" w:type="dxa"/>
            <w:vAlign w:val="center"/>
          </w:tcPr>
          <w:p w14:paraId="3DA61A61">
            <w:pPr>
              <w:snapToGrid w:val="0"/>
              <w:jc w:val="center"/>
              <w:rPr>
                <w:rFonts w:ascii="宋体"/>
                <w:sz w:val="24"/>
                <w:szCs w:val="28"/>
              </w:rPr>
            </w:pPr>
            <w:r>
              <w:rPr>
                <w:rFonts w:ascii="宋体" w:hAnsi="宋体" w:cs="宋体"/>
                <w:sz w:val="24"/>
              </w:rPr>
              <w:t>现场或</w:t>
            </w:r>
            <w:r>
              <w:rPr>
                <w:rFonts w:hint="eastAsia" w:ascii="宋体" w:hAnsi="宋体" w:cs="宋体"/>
                <w:sz w:val="24"/>
              </w:rPr>
              <w:t>试验</w:t>
            </w:r>
            <w:r>
              <w:rPr>
                <w:rFonts w:ascii="宋体" w:hAnsi="宋体" w:cs="宋体"/>
                <w:sz w:val="24"/>
              </w:rPr>
              <w:t>大厅，多变坚固、可靠、抗干扰强</w:t>
            </w:r>
          </w:p>
        </w:tc>
        <w:tc>
          <w:tcPr>
            <w:tcW w:w="2479" w:type="dxa"/>
            <w:vAlign w:val="center"/>
          </w:tcPr>
          <w:p w14:paraId="3169BBAC">
            <w:pPr>
              <w:snapToGrid w:val="0"/>
              <w:jc w:val="left"/>
              <w:rPr>
                <w:rFonts w:ascii="宋体"/>
                <w:sz w:val="24"/>
                <w:szCs w:val="28"/>
              </w:rPr>
            </w:pPr>
            <w:r>
              <w:rPr>
                <w:rFonts w:ascii="宋体" w:hAnsi="宋体" w:cs="宋体"/>
                <w:sz w:val="24"/>
              </w:rPr>
              <w:t>坚固、可靠、抗干扰强</w:t>
            </w:r>
          </w:p>
        </w:tc>
      </w:tr>
    </w:tbl>
    <w:p w14:paraId="6E851F63">
      <w:pPr>
        <w:spacing w:line="360" w:lineRule="auto"/>
        <w:rPr>
          <w:sz w:val="28"/>
          <w:szCs w:val="28"/>
        </w:rPr>
        <w:sectPr>
          <w:pgSz w:w="16838" w:h="11906" w:orient="landscape"/>
          <w:pgMar w:top="1800" w:right="1440" w:bottom="1800" w:left="1440" w:header="851" w:footer="992" w:gutter="0"/>
          <w:cols w:space="425" w:num="1"/>
          <w:docGrid w:type="lines" w:linePitch="312" w:charSpace="0"/>
        </w:sectPr>
      </w:pPr>
    </w:p>
    <w:p w14:paraId="49D17437">
      <w:pPr>
        <w:spacing w:line="360" w:lineRule="auto"/>
        <w:outlineLvl w:val="0"/>
        <w:rPr>
          <w:sz w:val="24"/>
        </w:rPr>
      </w:pPr>
      <w:bookmarkStart w:id="20" w:name="_Toc29007"/>
      <w:r>
        <w:rPr>
          <w:sz w:val="24"/>
        </w:rPr>
        <w:t xml:space="preserve">附表2 </w:t>
      </w:r>
      <w:r>
        <w:rPr>
          <w:rFonts w:hint="eastAsia"/>
          <w:sz w:val="24"/>
        </w:rPr>
        <w:t>工频高压分压器产品配置与技术参数调研汇总</w:t>
      </w:r>
      <w:bookmarkEnd w:id="20"/>
    </w:p>
    <w:tbl>
      <w:tblPr>
        <w:tblStyle w:val="17"/>
        <w:tblW w:w="14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1"/>
        <w:gridCol w:w="2270"/>
        <w:gridCol w:w="4133"/>
        <w:gridCol w:w="6084"/>
      </w:tblGrid>
      <w:tr w14:paraId="7687C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blHeader/>
          <w:jc w:val="center"/>
        </w:trPr>
        <w:tc>
          <w:tcPr>
            <w:tcW w:w="1551" w:type="dxa"/>
            <w:vAlign w:val="center"/>
          </w:tcPr>
          <w:p w14:paraId="1D6E6443">
            <w:pPr>
              <w:widowControl/>
              <w:snapToGrid w:val="0"/>
              <w:jc w:val="center"/>
              <w:textAlignment w:val="top"/>
              <w:rPr>
                <w:b/>
                <w:sz w:val="24"/>
              </w:rPr>
            </w:pPr>
            <w:r>
              <w:rPr>
                <w:b/>
                <w:kern w:val="0"/>
                <w:sz w:val="24"/>
                <w:lang w:bidi="ar"/>
              </w:rPr>
              <w:t>调研维度</w:t>
            </w:r>
          </w:p>
        </w:tc>
        <w:tc>
          <w:tcPr>
            <w:tcW w:w="2270" w:type="dxa"/>
            <w:vAlign w:val="center"/>
          </w:tcPr>
          <w:p w14:paraId="427B04CF">
            <w:pPr>
              <w:widowControl/>
              <w:snapToGrid w:val="0"/>
              <w:jc w:val="center"/>
              <w:textAlignment w:val="top"/>
              <w:rPr>
                <w:b/>
                <w:sz w:val="24"/>
              </w:rPr>
            </w:pPr>
            <w:r>
              <w:rPr>
                <w:b/>
                <w:kern w:val="0"/>
                <w:sz w:val="24"/>
                <w:lang w:bidi="ar"/>
              </w:rPr>
              <w:t>具体内容</w:t>
            </w:r>
          </w:p>
        </w:tc>
        <w:tc>
          <w:tcPr>
            <w:tcW w:w="4133" w:type="dxa"/>
            <w:vAlign w:val="center"/>
          </w:tcPr>
          <w:p w14:paraId="7BD8EFA9">
            <w:pPr>
              <w:widowControl/>
              <w:snapToGrid w:val="0"/>
              <w:jc w:val="center"/>
              <w:textAlignment w:val="top"/>
              <w:rPr>
                <w:b/>
                <w:sz w:val="24"/>
              </w:rPr>
            </w:pPr>
            <w:r>
              <w:rPr>
                <w:b/>
                <w:kern w:val="0"/>
                <w:sz w:val="24"/>
                <w:lang w:bidi="ar"/>
              </w:rPr>
              <w:t>数据/结论</w:t>
            </w:r>
          </w:p>
        </w:tc>
        <w:tc>
          <w:tcPr>
            <w:tcW w:w="6084" w:type="dxa"/>
            <w:vAlign w:val="center"/>
          </w:tcPr>
          <w:p w14:paraId="238A409E">
            <w:pPr>
              <w:widowControl/>
              <w:snapToGrid w:val="0"/>
              <w:jc w:val="center"/>
              <w:textAlignment w:val="top"/>
              <w:rPr>
                <w:b/>
                <w:sz w:val="24"/>
              </w:rPr>
            </w:pPr>
            <w:r>
              <w:rPr>
                <w:b/>
                <w:kern w:val="0"/>
                <w:sz w:val="24"/>
                <w:lang w:bidi="ar"/>
              </w:rPr>
              <w:t>备注/依据</w:t>
            </w:r>
          </w:p>
        </w:tc>
      </w:tr>
      <w:tr w14:paraId="009D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551" w:type="dxa"/>
            <w:vMerge w:val="restart"/>
            <w:vAlign w:val="center"/>
          </w:tcPr>
          <w:p w14:paraId="0447F1D0">
            <w:pPr>
              <w:widowControl/>
              <w:snapToGrid w:val="0"/>
              <w:jc w:val="center"/>
              <w:textAlignment w:val="top"/>
              <w:rPr>
                <w:sz w:val="24"/>
              </w:rPr>
            </w:pPr>
            <w:r>
              <w:rPr>
                <w:rStyle w:val="19"/>
                <w:kern w:val="0"/>
                <w:sz w:val="24"/>
                <w:lang w:bidi="ar"/>
              </w:rPr>
              <w:t>配置情况</w:t>
            </w:r>
          </w:p>
        </w:tc>
        <w:tc>
          <w:tcPr>
            <w:tcW w:w="2270" w:type="dxa"/>
            <w:vAlign w:val="center"/>
          </w:tcPr>
          <w:p w14:paraId="53F1D2DF">
            <w:pPr>
              <w:widowControl/>
              <w:snapToGrid w:val="0"/>
              <w:jc w:val="center"/>
              <w:textAlignment w:val="top"/>
              <w:rPr>
                <w:sz w:val="24"/>
              </w:rPr>
            </w:pPr>
            <w:r>
              <w:rPr>
                <w:kern w:val="0"/>
                <w:sz w:val="24"/>
                <w:lang w:bidi="ar"/>
              </w:rPr>
              <w:t>A类配置单位占比</w:t>
            </w:r>
          </w:p>
        </w:tc>
        <w:tc>
          <w:tcPr>
            <w:tcW w:w="4133" w:type="dxa"/>
            <w:vAlign w:val="center"/>
          </w:tcPr>
          <w:p w14:paraId="29EA6471">
            <w:pPr>
              <w:widowControl/>
              <w:snapToGrid w:val="0"/>
              <w:jc w:val="left"/>
              <w:textAlignment w:val="top"/>
              <w:rPr>
                <w:sz w:val="24"/>
              </w:rPr>
            </w:pPr>
            <w:r>
              <w:rPr>
                <w:rStyle w:val="19"/>
                <w:rFonts w:hint="eastAsia"/>
                <w:kern w:val="0"/>
                <w:sz w:val="24"/>
                <w:lang w:bidi="ar"/>
              </w:rPr>
              <w:t>6</w:t>
            </w:r>
            <w:r>
              <w:rPr>
                <w:rStyle w:val="19"/>
                <w:kern w:val="0"/>
                <w:sz w:val="24"/>
                <w:lang w:bidi="ar"/>
              </w:rPr>
              <w:t>%</w:t>
            </w:r>
            <w:r>
              <w:rPr>
                <w:kern w:val="0"/>
                <w:sz w:val="24"/>
                <w:lang w:bidi="ar"/>
              </w:rPr>
              <w:t> (3/3</w:t>
            </w:r>
            <w:r>
              <w:rPr>
                <w:rFonts w:hint="eastAsia"/>
                <w:kern w:val="0"/>
                <w:sz w:val="24"/>
                <w:lang w:bidi="ar"/>
              </w:rPr>
              <w:t>1</w:t>
            </w:r>
            <w:r>
              <w:rPr>
                <w:kern w:val="0"/>
                <w:sz w:val="24"/>
                <w:lang w:bidi="ar"/>
              </w:rPr>
              <w:t>)</w:t>
            </w:r>
          </w:p>
        </w:tc>
        <w:tc>
          <w:tcPr>
            <w:tcW w:w="6084" w:type="dxa"/>
            <w:vAlign w:val="center"/>
          </w:tcPr>
          <w:p w14:paraId="7CD0A465">
            <w:pPr>
              <w:widowControl/>
              <w:snapToGrid w:val="0"/>
              <w:jc w:val="left"/>
              <w:textAlignment w:val="top"/>
              <w:rPr>
                <w:sz w:val="24"/>
              </w:rPr>
            </w:pPr>
            <w:r>
              <w:rPr>
                <w:kern w:val="0"/>
                <w:sz w:val="24"/>
                <w:lang w:bidi="ar"/>
              </w:rPr>
              <w:t>中国计量科学研究院、国家高电压计量站、西安高压电器研究院股份有限公司等</w:t>
            </w:r>
          </w:p>
        </w:tc>
      </w:tr>
      <w:tr w14:paraId="509C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551" w:type="dxa"/>
            <w:vMerge w:val="continue"/>
            <w:vAlign w:val="center"/>
          </w:tcPr>
          <w:p w14:paraId="20FF5A02">
            <w:pPr>
              <w:snapToGrid w:val="0"/>
              <w:jc w:val="center"/>
              <w:rPr>
                <w:sz w:val="24"/>
              </w:rPr>
            </w:pPr>
          </w:p>
        </w:tc>
        <w:tc>
          <w:tcPr>
            <w:tcW w:w="2270" w:type="dxa"/>
            <w:vAlign w:val="center"/>
          </w:tcPr>
          <w:p w14:paraId="72953095">
            <w:pPr>
              <w:widowControl/>
              <w:snapToGrid w:val="0"/>
              <w:jc w:val="center"/>
              <w:textAlignment w:val="top"/>
              <w:rPr>
                <w:sz w:val="24"/>
              </w:rPr>
            </w:pPr>
            <w:r>
              <w:rPr>
                <w:kern w:val="0"/>
                <w:sz w:val="24"/>
                <w:lang w:bidi="ar"/>
              </w:rPr>
              <w:t>B类配置单位占比</w:t>
            </w:r>
          </w:p>
        </w:tc>
        <w:tc>
          <w:tcPr>
            <w:tcW w:w="4133" w:type="dxa"/>
            <w:vAlign w:val="center"/>
          </w:tcPr>
          <w:p w14:paraId="6ADE864F">
            <w:pPr>
              <w:widowControl/>
              <w:snapToGrid w:val="0"/>
              <w:jc w:val="left"/>
              <w:textAlignment w:val="top"/>
              <w:rPr>
                <w:sz w:val="24"/>
              </w:rPr>
            </w:pPr>
            <w:r>
              <w:rPr>
                <w:kern w:val="0"/>
                <w:sz w:val="24"/>
                <w:lang w:bidi="ar"/>
              </w:rPr>
              <w:t>约</w:t>
            </w:r>
            <w:r>
              <w:rPr>
                <w:rStyle w:val="19"/>
                <w:kern w:val="0"/>
                <w:sz w:val="24"/>
                <w:lang w:bidi="ar"/>
              </w:rPr>
              <w:t>9</w:t>
            </w:r>
            <w:r>
              <w:rPr>
                <w:rStyle w:val="19"/>
                <w:rFonts w:hint="eastAsia"/>
                <w:kern w:val="0"/>
                <w:sz w:val="24"/>
                <w:lang w:bidi="ar"/>
              </w:rPr>
              <w:t>4</w:t>
            </w:r>
            <w:r>
              <w:rPr>
                <w:rStyle w:val="19"/>
                <w:kern w:val="0"/>
                <w:sz w:val="24"/>
                <w:lang w:bidi="ar"/>
              </w:rPr>
              <w:t>%</w:t>
            </w:r>
            <w:r>
              <w:rPr>
                <w:kern w:val="0"/>
                <w:sz w:val="24"/>
                <w:lang w:bidi="ar"/>
              </w:rPr>
              <w:t> (</w:t>
            </w:r>
            <w:r>
              <w:rPr>
                <w:rFonts w:hint="eastAsia"/>
                <w:kern w:val="0"/>
                <w:sz w:val="24"/>
                <w:lang w:bidi="ar"/>
              </w:rPr>
              <w:t>28</w:t>
            </w:r>
            <w:r>
              <w:rPr>
                <w:kern w:val="0"/>
                <w:sz w:val="24"/>
                <w:lang w:bidi="ar"/>
              </w:rPr>
              <w:t>/3</w:t>
            </w:r>
            <w:r>
              <w:rPr>
                <w:rFonts w:hint="eastAsia"/>
                <w:kern w:val="0"/>
                <w:sz w:val="24"/>
                <w:lang w:bidi="ar"/>
              </w:rPr>
              <w:t>1</w:t>
            </w:r>
            <w:r>
              <w:rPr>
                <w:kern w:val="0"/>
                <w:sz w:val="24"/>
                <w:lang w:bidi="ar"/>
              </w:rPr>
              <w:t>)</w:t>
            </w:r>
          </w:p>
        </w:tc>
        <w:tc>
          <w:tcPr>
            <w:tcW w:w="6084" w:type="dxa"/>
            <w:vAlign w:val="center"/>
          </w:tcPr>
          <w:p w14:paraId="74DCD9FA">
            <w:pPr>
              <w:widowControl/>
              <w:snapToGrid w:val="0"/>
              <w:jc w:val="left"/>
              <w:textAlignment w:val="top"/>
              <w:rPr>
                <w:sz w:val="24"/>
              </w:rPr>
            </w:pPr>
            <w:r>
              <w:rPr>
                <w:kern w:val="0"/>
                <w:sz w:val="24"/>
                <w:lang w:bidi="ar"/>
              </w:rPr>
              <w:t>广泛分布于电网电科院、省级计量院、高压设备厂家</w:t>
            </w:r>
          </w:p>
        </w:tc>
      </w:tr>
      <w:tr w14:paraId="73BC4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551" w:type="dxa"/>
            <w:vMerge w:val="restart"/>
            <w:vAlign w:val="center"/>
          </w:tcPr>
          <w:p w14:paraId="34EBF243">
            <w:pPr>
              <w:widowControl/>
              <w:snapToGrid w:val="0"/>
              <w:jc w:val="center"/>
              <w:textAlignment w:val="top"/>
              <w:rPr>
                <w:sz w:val="24"/>
              </w:rPr>
            </w:pPr>
            <w:r>
              <w:rPr>
                <w:rStyle w:val="19"/>
                <w:kern w:val="0"/>
                <w:sz w:val="24"/>
                <w:lang w:bidi="ar"/>
              </w:rPr>
              <w:t>单位类型</w:t>
            </w:r>
          </w:p>
        </w:tc>
        <w:tc>
          <w:tcPr>
            <w:tcW w:w="2270" w:type="dxa"/>
            <w:vAlign w:val="center"/>
          </w:tcPr>
          <w:p w14:paraId="68F6FE57">
            <w:pPr>
              <w:widowControl/>
              <w:snapToGrid w:val="0"/>
              <w:jc w:val="center"/>
              <w:textAlignment w:val="top"/>
              <w:rPr>
                <w:sz w:val="24"/>
              </w:rPr>
            </w:pPr>
            <w:r>
              <w:rPr>
                <w:kern w:val="0"/>
                <w:sz w:val="24"/>
                <w:lang w:bidi="ar"/>
              </w:rPr>
              <w:t>计量技术机构</w:t>
            </w:r>
          </w:p>
        </w:tc>
        <w:tc>
          <w:tcPr>
            <w:tcW w:w="4133" w:type="dxa"/>
            <w:vAlign w:val="center"/>
          </w:tcPr>
          <w:p w14:paraId="572AC3E4">
            <w:pPr>
              <w:widowControl/>
              <w:snapToGrid w:val="0"/>
              <w:jc w:val="left"/>
              <w:textAlignment w:val="top"/>
              <w:rPr>
                <w:sz w:val="24"/>
              </w:rPr>
            </w:pPr>
            <w:r>
              <w:rPr>
                <w:kern w:val="0"/>
                <w:sz w:val="24"/>
                <w:lang w:bidi="ar"/>
              </w:rPr>
              <w:t>部分配置A类，普遍配置B类</w:t>
            </w:r>
            <w:r>
              <w:rPr>
                <w:rFonts w:hint="eastAsia"/>
                <w:kern w:val="0"/>
                <w:sz w:val="24"/>
                <w:lang w:bidi="ar"/>
              </w:rPr>
              <w:t>（电容分压器）</w:t>
            </w:r>
          </w:p>
        </w:tc>
        <w:tc>
          <w:tcPr>
            <w:tcW w:w="6084" w:type="dxa"/>
            <w:vAlign w:val="center"/>
          </w:tcPr>
          <w:p w14:paraId="60EF7264">
            <w:pPr>
              <w:widowControl/>
              <w:snapToGrid w:val="0"/>
              <w:jc w:val="left"/>
              <w:textAlignment w:val="top"/>
              <w:rPr>
                <w:sz w:val="24"/>
              </w:rPr>
            </w:pPr>
            <w:r>
              <w:rPr>
                <w:kern w:val="0"/>
                <w:sz w:val="24"/>
                <w:lang w:bidi="ar"/>
              </w:rPr>
              <w:t>核心量传与检测机构</w:t>
            </w:r>
          </w:p>
        </w:tc>
      </w:tr>
      <w:tr w14:paraId="1995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551" w:type="dxa"/>
            <w:vMerge w:val="continue"/>
            <w:vAlign w:val="center"/>
          </w:tcPr>
          <w:p w14:paraId="54A872B6">
            <w:pPr>
              <w:snapToGrid w:val="0"/>
              <w:jc w:val="center"/>
              <w:rPr>
                <w:sz w:val="24"/>
              </w:rPr>
            </w:pPr>
          </w:p>
        </w:tc>
        <w:tc>
          <w:tcPr>
            <w:tcW w:w="2270" w:type="dxa"/>
            <w:vAlign w:val="center"/>
          </w:tcPr>
          <w:p w14:paraId="25CFB158">
            <w:pPr>
              <w:widowControl/>
              <w:snapToGrid w:val="0"/>
              <w:jc w:val="center"/>
              <w:textAlignment w:val="top"/>
              <w:rPr>
                <w:sz w:val="24"/>
              </w:rPr>
            </w:pPr>
            <w:r>
              <w:rPr>
                <w:kern w:val="0"/>
                <w:sz w:val="24"/>
                <w:lang w:bidi="ar"/>
              </w:rPr>
              <w:t>高压设备生产单位</w:t>
            </w:r>
          </w:p>
        </w:tc>
        <w:tc>
          <w:tcPr>
            <w:tcW w:w="4133" w:type="dxa"/>
            <w:vAlign w:val="center"/>
          </w:tcPr>
          <w:p w14:paraId="218F2150">
            <w:pPr>
              <w:widowControl/>
              <w:snapToGrid w:val="0"/>
              <w:jc w:val="left"/>
              <w:textAlignment w:val="top"/>
              <w:rPr>
                <w:sz w:val="24"/>
              </w:rPr>
            </w:pPr>
            <w:r>
              <w:rPr>
                <w:kern w:val="0"/>
                <w:sz w:val="24"/>
                <w:lang w:bidi="ar"/>
              </w:rPr>
              <w:t>全部配置B类</w:t>
            </w:r>
            <w:r>
              <w:rPr>
                <w:rFonts w:hint="eastAsia"/>
                <w:kern w:val="0"/>
                <w:sz w:val="24"/>
                <w:lang w:bidi="ar"/>
              </w:rPr>
              <w:t>（电容分压器）</w:t>
            </w:r>
          </w:p>
        </w:tc>
        <w:tc>
          <w:tcPr>
            <w:tcW w:w="6084" w:type="dxa"/>
            <w:vAlign w:val="center"/>
          </w:tcPr>
          <w:p w14:paraId="2EFB296C">
            <w:pPr>
              <w:widowControl/>
              <w:snapToGrid w:val="0"/>
              <w:jc w:val="left"/>
              <w:textAlignment w:val="top"/>
              <w:rPr>
                <w:sz w:val="24"/>
              </w:rPr>
            </w:pPr>
            <w:r>
              <w:rPr>
                <w:kern w:val="0"/>
                <w:sz w:val="24"/>
                <w:lang w:bidi="ar"/>
              </w:rPr>
              <w:t>用于产品试验，如武汉磐电、苏州华电等</w:t>
            </w:r>
          </w:p>
        </w:tc>
      </w:tr>
      <w:tr w14:paraId="3F5D1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551" w:type="dxa"/>
            <w:vMerge w:val="continue"/>
            <w:vAlign w:val="center"/>
          </w:tcPr>
          <w:p w14:paraId="2DD6BC94">
            <w:pPr>
              <w:snapToGrid w:val="0"/>
              <w:jc w:val="center"/>
              <w:rPr>
                <w:sz w:val="24"/>
              </w:rPr>
            </w:pPr>
          </w:p>
        </w:tc>
        <w:tc>
          <w:tcPr>
            <w:tcW w:w="2270" w:type="dxa"/>
            <w:vAlign w:val="center"/>
          </w:tcPr>
          <w:p w14:paraId="50D84DE1">
            <w:pPr>
              <w:widowControl/>
              <w:snapToGrid w:val="0"/>
              <w:jc w:val="center"/>
              <w:textAlignment w:val="top"/>
              <w:rPr>
                <w:sz w:val="24"/>
              </w:rPr>
            </w:pPr>
            <w:r>
              <w:rPr>
                <w:kern w:val="0"/>
                <w:sz w:val="24"/>
                <w:lang w:bidi="ar"/>
              </w:rPr>
              <w:t>电网试验研究机构</w:t>
            </w:r>
          </w:p>
        </w:tc>
        <w:tc>
          <w:tcPr>
            <w:tcW w:w="4133" w:type="dxa"/>
            <w:vAlign w:val="center"/>
          </w:tcPr>
          <w:p w14:paraId="0BDF0D1B">
            <w:pPr>
              <w:widowControl/>
              <w:snapToGrid w:val="0"/>
              <w:jc w:val="left"/>
              <w:textAlignment w:val="top"/>
              <w:rPr>
                <w:sz w:val="24"/>
              </w:rPr>
            </w:pPr>
            <w:r>
              <w:rPr>
                <w:kern w:val="0"/>
                <w:sz w:val="24"/>
                <w:lang w:bidi="ar"/>
              </w:rPr>
              <w:t>全部配置B类</w:t>
            </w:r>
            <w:r>
              <w:rPr>
                <w:rFonts w:hint="eastAsia"/>
                <w:kern w:val="0"/>
                <w:sz w:val="24"/>
                <w:lang w:bidi="ar"/>
              </w:rPr>
              <w:t>（电容分压器）</w:t>
            </w:r>
          </w:p>
        </w:tc>
        <w:tc>
          <w:tcPr>
            <w:tcW w:w="6084" w:type="dxa"/>
            <w:vAlign w:val="center"/>
          </w:tcPr>
          <w:p w14:paraId="2B077F69">
            <w:pPr>
              <w:widowControl/>
              <w:snapToGrid w:val="0"/>
              <w:jc w:val="left"/>
              <w:textAlignment w:val="top"/>
              <w:rPr>
                <w:sz w:val="24"/>
              </w:rPr>
            </w:pPr>
            <w:r>
              <w:rPr>
                <w:kern w:val="0"/>
                <w:sz w:val="24"/>
                <w:lang w:bidi="ar"/>
              </w:rPr>
              <w:t>现场测试主力，如国网各省电科院</w:t>
            </w:r>
          </w:p>
        </w:tc>
      </w:tr>
      <w:tr w14:paraId="5C471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551" w:type="dxa"/>
            <w:vMerge w:val="restart"/>
            <w:vAlign w:val="center"/>
          </w:tcPr>
          <w:p w14:paraId="1BB7AA13">
            <w:pPr>
              <w:widowControl/>
              <w:snapToGrid w:val="0"/>
              <w:jc w:val="center"/>
              <w:textAlignment w:val="top"/>
              <w:rPr>
                <w:sz w:val="24"/>
              </w:rPr>
            </w:pPr>
            <w:r>
              <w:rPr>
                <w:rStyle w:val="19"/>
                <w:kern w:val="0"/>
                <w:sz w:val="24"/>
                <w:lang w:bidi="ar"/>
              </w:rPr>
              <w:t>技术参数</w:t>
            </w:r>
          </w:p>
        </w:tc>
        <w:tc>
          <w:tcPr>
            <w:tcW w:w="2270" w:type="dxa"/>
            <w:vAlign w:val="center"/>
          </w:tcPr>
          <w:p w14:paraId="497755FC">
            <w:pPr>
              <w:widowControl/>
              <w:snapToGrid w:val="0"/>
              <w:jc w:val="center"/>
              <w:textAlignment w:val="top"/>
              <w:rPr>
                <w:sz w:val="24"/>
              </w:rPr>
            </w:pPr>
            <w:r>
              <w:rPr>
                <w:kern w:val="0"/>
                <w:sz w:val="24"/>
                <w:lang w:bidi="ar"/>
              </w:rPr>
              <w:t>准确度等级</w:t>
            </w:r>
          </w:p>
        </w:tc>
        <w:tc>
          <w:tcPr>
            <w:tcW w:w="4133" w:type="dxa"/>
            <w:vAlign w:val="center"/>
          </w:tcPr>
          <w:p w14:paraId="312712D5">
            <w:pPr>
              <w:widowControl/>
              <w:snapToGrid w:val="0"/>
              <w:jc w:val="left"/>
              <w:textAlignment w:val="top"/>
              <w:rPr>
                <w:kern w:val="0"/>
                <w:sz w:val="24"/>
                <w:lang w:bidi="ar"/>
              </w:rPr>
            </w:pPr>
            <w:r>
              <w:rPr>
                <w:rStyle w:val="19"/>
                <w:kern w:val="0"/>
                <w:sz w:val="24"/>
                <w:lang w:bidi="ar"/>
              </w:rPr>
              <w:t>7个级别</w:t>
            </w:r>
            <w:r>
              <w:rPr>
                <w:kern w:val="0"/>
                <w:sz w:val="24"/>
                <w:lang w:bidi="ar"/>
              </w:rPr>
              <w:t xml:space="preserve">：0.02, 0.05 (A类); </w:t>
            </w:r>
          </w:p>
          <w:p w14:paraId="258BAAEB">
            <w:pPr>
              <w:widowControl/>
              <w:snapToGrid w:val="0"/>
              <w:jc w:val="left"/>
              <w:textAlignment w:val="top"/>
              <w:rPr>
                <w:sz w:val="24"/>
              </w:rPr>
            </w:pPr>
            <w:r>
              <w:rPr>
                <w:kern w:val="0"/>
                <w:sz w:val="24"/>
                <w:lang w:bidi="ar"/>
              </w:rPr>
              <w:t>0.1, 0.2, 0.5, 1, 2 (B类)</w:t>
            </w:r>
          </w:p>
        </w:tc>
        <w:tc>
          <w:tcPr>
            <w:tcW w:w="6084" w:type="dxa"/>
            <w:vAlign w:val="center"/>
          </w:tcPr>
          <w:p w14:paraId="5BB8416D">
            <w:pPr>
              <w:widowControl/>
              <w:snapToGrid w:val="0"/>
              <w:jc w:val="left"/>
              <w:textAlignment w:val="top"/>
              <w:rPr>
                <w:sz w:val="24"/>
              </w:rPr>
            </w:pPr>
            <w:r>
              <w:rPr>
                <w:kern w:val="0"/>
                <w:sz w:val="24"/>
                <w:lang w:bidi="ar"/>
              </w:rPr>
              <w:t>规程草案5.1条</w:t>
            </w:r>
          </w:p>
        </w:tc>
      </w:tr>
      <w:tr w14:paraId="18C4E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551" w:type="dxa"/>
            <w:vMerge w:val="continue"/>
            <w:vAlign w:val="center"/>
          </w:tcPr>
          <w:p w14:paraId="70DC6D63">
            <w:pPr>
              <w:snapToGrid w:val="0"/>
              <w:jc w:val="center"/>
              <w:rPr>
                <w:sz w:val="24"/>
              </w:rPr>
            </w:pPr>
          </w:p>
        </w:tc>
        <w:tc>
          <w:tcPr>
            <w:tcW w:w="2270" w:type="dxa"/>
            <w:vAlign w:val="center"/>
          </w:tcPr>
          <w:p w14:paraId="676F83C2">
            <w:pPr>
              <w:widowControl/>
              <w:snapToGrid w:val="0"/>
              <w:jc w:val="center"/>
              <w:textAlignment w:val="top"/>
              <w:rPr>
                <w:sz w:val="24"/>
              </w:rPr>
            </w:pPr>
            <w:r>
              <w:rPr>
                <w:kern w:val="0"/>
                <w:sz w:val="24"/>
                <w:lang w:bidi="ar"/>
              </w:rPr>
              <w:t>A类最大允许误差</w:t>
            </w:r>
          </w:p>
        </w:tc>
        <w:tc>
          <w:tcPr>
            <w:tcW w:w="4133" w:type="dxa"/>
            <w:vAlign w:val="center"/>
          </w:tcPr>
          <w:p w14:paraId="03BBDC3E">
            <w:pPr>
              <w:widowControl/>
              <w:snapToGrid w:val="0"/>
              <w:jc w:val="left"/>
              <w:textAlignment w:val="top"/>
              <w:rPr>
                <w:sz w:val="24"/>
              </w:rPr>
            </w:pPr>
            <w:r>
              <w:rPr>
                <w:kern w:val="0"/>
                <w:sz w:val="24"/>
                <w:lang w:bidi="ar"/>
              </w:rPr>
              <w:t>比值差：±0.02%, ±0.05%；相位差：±0.6′, ±2′</w:t>
            </w:r>
          </w:p>
        </w:tc>
        <w:tc>
          <w:tcPr>
            <w:tcW w:w="6084" w:type="dxa"/>
            <w:vAlign w:val="center"/>
          </w:tcPr>
          <w:p w14:paraId="67610DB4">
            <w:pPr>
              <w:widowControl/>
              <w:snapToGrid w:val="0"/>
              <w:jc w:val="left"/>
              <w:textAlignment w:val="top"/>
              <w:rPr>
                <w:sz w:val="24"/>
              </w:rPr>
            </w:pPr>
            <w:r>
              <w:rPr>
                <w:kern w:val="0"/>
                <w:sz w:val="24"/>
                <w:lang w:bidi="ar"/>
              </w:rPr>
              <w:t>规程草案表1</w:t>
            </w:r>
          </w:p>
        </w:tc>
      </w:tr>
      <w:tr w14:paraId="239B7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551" w:type="dxa"/>
            <w:vMerge w:val="continue"/>
            <w:vAlign w:val="center"/>
          </w:tcPr>
          <w:p w14:paraId="3A321419">
            <w:pPr>
              <w:snapToGrid w:val="0"/>
              <w:jc w:val="center"/>
              <w:rPr>
                <w:sz w:val="24"/>
              </w:rPr>
            </w:pPr>
          </w:p>
        </w:tc>
        <w:tc>
          <w:tcPr>
            <w:tcW w:w="2270" w:type="dxa"/>
            <w:vAlign w:val="center"/>
          </w:tcPr>
          <w:p w14:paraId="024ED1A0">
            <w:pPr>
              <w:widowControl/>
              <w:snapToGrid w:val="0"/>
              <w:jc w:val="center"/>
              <w:textAlignment w:val="top"/>
              <w:rPr>
                <w:sz w:val="24"/>
              </w:rPr>
            </w:pPr>
            <w:r>
              <w:rPr>
                <w:kern w:val="0"/>
                <w:sz w:val="24"/>
                <w:lang w:bidi="ar"/>
              </w:rPr>
              <w:t>B类最大允许误差</w:t>
            </w:r>
          </w:p>
        </w:tc>
        <w:tc>
          <w:tcPr>
            <w:tcW w:w="4133" w:type="dxa"/>
            <w:vAlign w:val="center"/>
          </w:tcPr>
          <w:p w14:paraId="06DEC300">
            <w:pPr>
              <w:widowControl/>
              <w:snapToGrid w:val="0"/>
              <w:jc w:val="left"/>
              <w:textAlignment w:val="top"/>
              <w:rPr>
                <w:sz w:val="24"/>
              </w:rPr>
            </w:pPr>
            <w:r>
              <w:rPr>
                <w:kern w:val="0"/>
                <w:sz w:val="24"/>
                <w:lang w:bidi="ar"/>
              </w:rPr>
              <w:t>基本误差：±0.1%, ±0.2%, ±0.5%, ±1%, ±2%</w:t>
            </w:r>
          </w:p>
        </w:tc>
        <w:tc>
          <w:tcPr>
            <w:tcW w:w="6084" w:type="dxa"/>
            <w:vAlign w:val="center"/>
          </w:tcPr>
          <w:p w14:paraId="1D0BDB24">
            <w:pPr>
              <w:widowControl/>
              <w:snapToGrid w:val="0"/>
              <w:jc w:val="left"/>
              <w:textAlignment w:val="top"/>
              <w:rPr>
                <w:sz w:val="24"/>
              </w:rPr>
            </w:pPr>
            <w:r>
              <w:rPr>
                <w:kern w:val="0"/>
                <w:sz w:val="24"/>
                <w:lang w:bidi="ar"/>
              </w:rPr>
              <w:t>规程草案表2</w:t>
            </w:r>
          </w:p>
        </w:tc>
      </w:tr>
      <w:tr w14:paraId="0DDFF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551" w:type="dxa"/>
            <w:vMerge w:val="continue"/>
            <w:vAlign w:val="center"/>
          </w:tcPr>
          <w:p w14:paraId="423EC15A">
            <w:pPr>
              <w:snapToGrid w:val="0"/>
              <w:jc w:val="center"/>
              <w:rPr>
                <w:sz w:val="24"/>
              </w:rPr>
            </w:pPr>
          </w:p>
        </w:tc>
        <w:tc>
          <w:tcPr>
            <w:tcW w:w="2270" w:type="dxa"/>
            <w:vAlign w:val="center"/>
          </w:tcPr>
          <w:p w14:paraId="63D7D356">
            <w:pPr>
              <w:snapToGrid w:val="0"/>
              <w:jc w:val="center"/>
              <w:rPr>
                <w:sz w:val="24"/>
              </w:rPr>
            </w:pPr>
            <w:r>
              <w:rPr>
                <w:sz w:val="24"/>
                <w:shd w:val="clear" w:color="auto" w:fill="FFFFFF"/>
              </w:rPr>
              <w:t>升降压变差</w:t>
            </w:r>
          </w:p>
        </w:tc>
        <w:tc>
          <w:tcPr>
            <w:tcW w:w="4133" w:type="dxa"/>
            <w:vAlign w:val="center"/>
          </w:tcPr>
          <w:p w14:paraId="3BE7AE42">
            <w:pPr>
              <w:snapToGrid w:val="0"/>
              <w:jc w:val="left"/>
              <w:rPr>
                <w:sz w:val="24"/>
              </w:rPr>
            </w:pPr>
            <w:r>
              <w:rPr>
                <w:sz w:val="24"/>
                <w:shd w:val="clear" w:color="auto" w:fill="FFFFFF"/>
              </w:rPr>
              <w:t>≤ 对应最大允许误差的 </w:t>
            </w:r>
            <w:r>
              <w:rPr>
                <w:rStyle w:val="19"/>
                <w:sz w:val="24"/>
                <w:shd w:val="clear" w:color="auto" w:fill="FFFFFF"/>
              </w:rPr>
              <w:t>1/3</w:t>
            </w:r>
          </w:p>
        </w:tc>
        <w:tc>
          <w:tcPr>
            <w:tcW w:w="6084" w:type="dxa"/>
            <w:vAlign w:val="center"/>
          </w:tcPr>
          <w:p w14:paraId="26F13E96">
            <w:pPr>
              <w:snapToGrid w:val="0"/>
              <w:jc w:val="left"/>
              <w:rPr>
                <w:sz w:val="24"/>
              </w:rPr>
            </w:pPr>
            <w:r>
              <w:rPr>
                <w:sz w:val="24"/>
                <w:shd w:val="clear" w:color="auto" w:fill="FFFFFF"/>
              </w:rPr>
              <w:t>规程草案5.3条</w:t>
            </w:r>
          </w:p>
        </w:tc>
      </w:tr>
      <w:tr w14:paraId="7B388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551" w:type="dxa"/>
            <w:vMerge w:val="continue"/>
            <w:vAlign w:val="center"/>
          </w:tcPr>
          <w:p w14:paraId="25F9189E">
            <w:pPr>
              <w:snapToGrid w:val="0"/>
              <w:jc w:val="center"/>
              <w:rPr>
                <w:sz w:val="24"/>
              </w:rPr>
            </w:pPr>
          </w:p>
        </w:tc>
        <w:tc>
          <w:tcPr>
            <w:tcW w:w="2270" w:type="dxa"/>
            <w:vAlign w:val="center"/>
          </w:tcPr>
          <w:p w14:paraId="678ADAF5">
            <w:pPr>
              <w:snapToGrid w:val="0"/>
              <w:jc w:val="center"/>
              <w:rPr>
                <w:sz w:val="24"/>
              </w:rPr>
            </w:pPr>
            <w:r>
              <w:rPr>
                <w:sz w:val="24"/>
                <w:shd w:val="clear" w:color="auto" w:fill="FFFFFF"/>
              </w:rPr>
              <w:t>短时稳定性</w:t>
            </w:r>
          </w:p>
        </w:tc>
        <w:tc>
          <w:tcPr>
            <w:tcW w:w="4133" w:type="dxa"/>
            <w:vAlign w:val="center"/>
          </w:tcPr>
          <w:p w14:paraId="116995CB">
            <w:pPr>
              <w:snapToGrid w:val="0"/>
              <w:jc w:val="left"/>
              <w:rPr>
                <w:sz w:val="24"/>
              </w:rPr>
            </w:pPr>
            <w:r>
              <w:rPr>
                <w:sz w:val="24"/>
                <w:shd w:val="clear" w:color="auto" w:fill="FFFFFF"/>
              </w:rPr>
              <w:t>30分钟误差变化量 ≤ MPE的 </w:t>
            </w:r>
            <w:r>
              <w:rPr>
                <w:rStyle w:val="19"/>
                <w:sz w:val="24"/>
                <w:shd w:val="clear" w:color="auto" w:fill="FFFFFF"/>
              </w:rPr>
              <w:t>1/3</w:t>
            </w:r>
          </w:p>
        </w:tc>
        <w:tc>
          <w:tcPr>
            <w:tcW w:w="6084" w:type="dxa"/>
            <w:vAlign w:val="center"/>
          </w:tcPr>
          <w:p w14:paraId="78C36FAA">
            <w:pPr>
              <w:snapToGrid w:val="0"/>
              <w:jc w:val="left"/>
              <w:rPr>
                <w:sz w:val="24"/>
              </w:rPr>
            </w:pPr>
            <w:r>
              <w:rPr>
                <w:sz w:val="24"/>
                <w:shd w:val="clear" w:color="auto" w:fill="FFFFFF"/>
              </w:rPr>
              <w:t>规程草案5.4条</w:t>
            </w:r>
          </w:p>
        </w:tc>
      </w:tr>
    </w:tbl>
    <w:p w14:paraId="713C8257">
      <w:pPr>
        <w:spacing w:line="360" w:lineRule="auto"/>
        <w:rPr>
          <w:sz w:val="28"/>
          <w:szCs w:val="28"/>
        </w:rPr>
        <w:sectPr>
          <w:pgSz w:w="16838" w:h="11906" w:orient="landscape"/>
          <w:pgMar w:top="1800" w:right="1440" w:bottom="1800" w:left="1440" w:header="851" w:footer="992" w:gutter="0"/>
          <w:cols w:space="425" w:num="1"/>
          <w:docGrid w:type="lines" w:linePitch="312" w:charSpace="0"/>
        </w:sectPr>
      </w:pPr>
    </w:p>
    <w:p w14:paraId="7CCC98CB">
      <w:pPr>
        <w:outlineLvl w:val="0"/>
        <w:rPr>
          <w:sz w:val="24"/>
        </w:rPr>
      </w:pPr>
      <w:bookmarkStart w:id="21" w:name="_Toc4156"/>
      <w:r>
        <w:rPr>
          <w:sz w:val="24"/>
        </w:rPr>
        <w:t xml:space="preserve">附表3 </w:t>
      </w:r>
      <w:r>
        <w:rPr>
          <w:rFonts w:hint="eastAsia"/>
          <w:sz w:val="24"/>
        </w:rPr>
        <w:t>工频高压分压器检定标准装置配置要求调研汇总</w:t>
      </w:r>
      <w:bookmarkEnd w:id="21"/>
    </w:p>
    <w:p w14:paraId="2297D618">
      <w:pPr>
        <w:outlineLvl w:val="0"/>
        <w:rPr>
          <w:sz w:val="24"/>
        </w:rPr>
      </w:pPr>
    </w:p>
    <w:tbl>
      <w:tblPr>
        <w:tblStyle w:val="17"/>
        <w:tblW w:w="14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5"/>
        <w:gridCol w:w="4613"/>
        <w:gridCol w:w="5027"/>
        <w:gridCol w:w="2393"/>
      </w:tblGrid>
      <w:tr w14:paraId="725E0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blHeader/>
          <w:jc w:val="center"/>
        </w:trPr>
        <w:tc>
          <w:tcPr>
            <w:tcW w:w="2165" w:type="dxa"/>
            <w:vAlign w:val="center"/>
          </w:tcPr>
          <w:p w14:paraId="244F9554">
            <w:pPr>
              <w:snapToGrid w:val="0"/>
              <w:jc w:val="center"/>
              <w:rPr>
                <w:rFonts w:hint="eastAsia" w:ascii="宋体" w:hAnsi="宋体" w:cs="宋体"/>
                <w:b/>
                <w:kern w:val="0"/>
                <w:sz w:val="24"/>
              </w:rPr>
            </w:pPr>
            <w:r>
              <w:rPr>
                <w:rFonts w:hint="eastAsia" w:ascii="宋体" w:hAnsi="宋体" w:cs="宋体"/>
                <w:b/>
                <w:sz w:val="24"/>
              </w:rPr>
              <w:t>被检分压器类别 </w:t>
            </w:r>
          </w:p>
        </w:tc>
        <w:tc>
          <w:tcPr>
            <w:tcW w:w="4613" w:type="dxa"/>
            <w:vAlign w:val="center"/>
          </w:tcPr>
          <w:p w14:paraId="5A5ACED9">
            <w:pPr>
              <w:snapToGrid w:val="0"/>
              <w:jc w:val="center"/>
              <w:rPr>
                <w:rFonts w:hint="eastAsia" w:ascii="宋体" w:hAnsi="宋体" w:cs="宋体"/>
                <w:b/>
                <w:kern w:val="0"/>
                <w:sz w:val="24"/>
              </w:rPr>
            </w:pPr>
            <w:r>
              <w:rPr>
                <w:rFonts w:hint="eastAsia" w:ascii="宋体" w:hAnsi="宋体" w:cs="宋体"/>
                <w:b/>
                <w:sz w:val="24"/>
              </w:rPr>
              <w:t>推荐计量标准器配置</w:t>
            </w:r>
          </w:p>
        </w:tc>
        <w:tc>
          <w:tcPr>
            <w:tcW w:w="5027" w:type="dxa"/>
            <w:vAlign w:val="center"/>
          </w:tcPr>
          <w:p w14:paraId="309895D4">
            <w:pPr>
              <w:snapToGrid w:val="0"/>
              <w:jc w:val="center"/>
              <w:rPr>
                <w:rFonts w:hint="eastAsia" w:ascii="宋体" w:hAnsi="宋体" w:cs="宋体"/>
                <w:b/>
                <w:kern w:val="0"/>
                <w:sz w:val="24"/>
              </w:rPr>
            </w:pPr>
            <w:r>
              <w:rPr>
                <w:rFonts w:hint="eastAsia" w:ascii="宋体" w:hAnsi="宋体" w:cs="宋体"/>
                <w:b/>
                <w:sz w:val="24"/>
              </w:rPr>
              <w:t>关键计量特性要求</w:t>
            </w:r>
          </w:p>
        </w:tc>
        <w:tc>
          <w:tcPr>
            <w:tcW w:w="2393" w:type="dxa"/>
            <w:vAlign w:val="center"/>
          </w:tcPr>
          <w:p w14:paraId="0C8D68E8">
            <w:pPr>
              <w:snapToGrid w:val="0"/>
              <w:jc w:val="center"/>
              <w:rPr>
                <w:rFonts w:hint="eastAsia" w:ascii="宋体" w:hAnsi="宋体" w:cs="宋体"/>
                <w:b/>
                <w:kern w:val="0"/>
                <w:sz w:val="24"/>
              </w:rPr>
            </w:pPr>
            <w:r>
              <w:rPr>
                <w:rFonts w:hint="eastAsia" w:ascii="宋体" w:hAnsi="宋体" w:cs="宋体"/>
                <w:b/>
                <w:sz w:val="24"/>
              </w:rPr>
              <w:t>环境条件建议</w:t>
            </w:r>
          </w:p>
        </w:tc>
      </w:tr>
      <w:tr w14:paraId="5C138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9" w:hRule="atLeast"/>
          <w:jc w:val="center"/>
        </w:trPr>
        <w:tc>
          <w:tcPr>
            <w:tcW w:w="2165" w:type="dxa"/>
            <w:vAlign w:val="center"/>
          </w:tcPr>
          <w:p w14:paraId="1574DC69">
            <w:pPr>
              <w:snapToGrid w:val="0"/>
              <w:jc w:val="center"/>
              <w:rPr>
                <w:rFonts w:hint="eastAsia" w:ascii="宋体" w:hAnsi="宋体" w:cs="宋体"/>
                <w:kern w:val="0"/>
                <w:sz w:val="24"/>
              </w:rPr>
            </w:pPr>
            <w:r>
              <w:rPr>
                <w:rStyle w:val="19"/>
                <w:rFonts w:hint="eastAsia" w:ascii="宋体" w:hAnsi="宋体" w:cs="宋体"/>
                <w:sz w:val="24"/>
                <w:shd w:val="clear" w:color="auto" w:fill="FFFFFF"/>
              </w:rPr>
              <w:t>A类</w:t>
            </w:r>
            <w:r>
              <w:rPr>
                <w:rFonts w:hint="eastAsia" w:ascii="宋体" w:hAnsi="宋体" w:cs="宋体"/>
                <w:sz w:val="24"/>
                <w:shd w:val="clear" w:color="auto" w:fill="FFFFFF"/>
              </w:rPr>
              <w:br w:type="textWrapping"/>
            </w:r>
            <w:r>
              <w:rPr>
                <w:rFonts w:hint="eastAsia" w:ascii="宋体" w:hAnsi="宋体" w:cs="宋体"/>
                <w:sz w:val="24"/>
                <w:shd w:val="clear" w:color="auto" w:fill="FFFFFF"/>
              </w:rPr>
              <w:t>(0.02, 0.05级)</w:t>
            </w:r>
          </w:p>
        </w:tc>
        <w:tc>
          <w:tcPr>
            <w:tcW w:w="4613" w:type="dxa"/>
            <w:vAlign w:val="center"/>
          </w:tcPr>
          <w:p w14:paraId="35A86A49">
            <w:pPr>
              <w:snapToGrid w:val="0"/>
              <w:jc w:val="left"/>
              <w:rPr>
                <w:rFonts w:hint="eastAsia" w:ascii="宋体" w:hAnsi="宋体" w:cs="宋体"/>
                <w:kern w:val="0"/>
                <w:sz w:val="24"/>
              </w:rPr>
            </w:pPr>
            <w:r>
              <w:rPr>
                <w:rFonts w:hint="eastAsia" w:ascii="宋体" w:hAnsi="宋体" w:cs="宋体"/>
                <w:kern w:val="0"/>
                <w:sz w:val="24"/>
              </w:rPr>
              <w:t xml:space="preserve">标准电压互感器 + 感应分压器 + 双通道数字同步采样装置 </w:t>
            </w:r>
          </w:p>
        </w:tc>
        <w:tc>
          <w:tcPr>
            <w:tcW w:w="5027" w:type="dxa"/>
            <w:vAlign w:val="center"/>
          </w:tcPr>
          <w:p w14:paraId="1F134C11">
            <w:pPr>
              <w:snapToGrid w:val="0"/>
              <w:jc w:val="left"/>
              <w:rPr>
                <w:rFonts w:hint="eastAsia" w:ascii="宋体" w:hAnsi="宋体" w:cs="宋体"/>
                <w:kern w:val="0"/>
                <w:sz w:val="24"/>
              </w:rPr>
            </w:pPr>
            <w:r>
              <w:rPr>
                <w:rFonts w:hint="eastAsia" w:ascii="宋体" w:hAnsi="宋体" w:cs="宋体"/>
                <w:kern w:val="0"/>
                <w:sz w:val="24"/>
              </w:rPr>
              <w:t>标准PT：不低于 0.005级</w:t>
            </w:r>
          </w:p>
          <w:p w14:paraId="4298412E">
            <w:pPr>
              <w:snapToGrid w:val="0"/>
              <w:jc w:val="left"/>
              <w:rPr>
                <w:rFonts w:hint="eastAsia" w:ascii="宋体" w:hAnsi="宋体" w:cs="宋体"/>
                <w:kern w:val="0"/>
                <w:sz w:val="24"/>
              </w:rPr>
            </w:pPr>
            <w:r>
              <w:rPr>
                <w:rFonts w:hint="eastAsia" w:ascii="宋体" w:hAnsi="宋体" w:cs="宋体"/>
                <w:kern w:val="0"/>
                <w:sz w:val="24"/>
              </w:rPr>
              <w:t>IVD：不低于 0.0005级</w:t>
            </w:r>
          </w:p>
          <w:p w14:paraId="2A94394A">
            <w:pPr>
              <w:snapToGrid w:val="0"/>
              <w:jc w:val="left"/>
              <w:rPr>
                <w:rFonts w:hint="eastAsia" w:ascii="宋体" w:hAnsi="宋体" w:cs="宋体"/>
                <w:kern w:val="0"/>
                <w:sz w:val="24"/>
              </w:rPr>
            </w:pPr>
            <w:r>
              <w:rPr>
                <w:rFonts w:hint="eastAsia" w:ascii="宋体" w:hAnsi="宋体" w:cs="宋体"/>
                <w:kern w:val="0"/>
                <w:sz w:val="24"/>
              </w:rPr>
              <w:t>同步采样：电压误差±0.02%，相位差±0.1′，通道一致性±0.002%</w:t>
            </w:r>
          </w:p>
        </w:tc>
        <w:tc>
          <w:tcPr>
            <w:tcW w:w="2393" w:type="dxa"/>
            <w:vAlign w:val="center"/>
          </w:tcPr>
          <w:p w14:paraId="5507A33B">
            <w:pPr>
              <w:snapToGrid w:val="0"/>
              <w:jc w:val="left"/>
              <w:rPr>
                <w:rFonts w:hint="eastAsia" w:ascii="宋体" w:hAnsi="宋体" w:cs="宋体"/>
                <w:kern w:val="0"/>
                <w:sz w:val="24"/>
              </w:rPr>
            </w:pPr>
            <w:r>
              <w:rPr>
                <w:rFonts w:hint="eastAsia" w:ascii="宋体" w:hAnsi="宋体" w:cs="宋体"/>
                <w:kern w:val="0"/>
                <w:sz w:val="24"/>
              </w:rPr>
              <w:t>温度：(20±2)℃</w:t>
            </w:r>
          </w:p>
          <w:p w14:paraId="74578373">
            <w:pPr>
              <w:snapToGrid w:val="0"/>
              <w:jc w:val="left"/>
              <w:rPr>
                <w:rFonts w:hint="eastAsia" w:ascii="宋体" w:hAnsi="宋体" w:cs="宋体"/>
                <w:kern w:val="0"/>
                <w:sz w:val="24"/>
              </w:rPr>
            </w:pPr>
            <w:r>
              <w:rPr>
                <w:rFonts w:hint="eastAsia" w:ascii="宋体" w:hAnsi="宋体" w:cs="宋体"/>
                <w:kern w:val="0"/>
                <w:sz w:val="24"/>
              </w:rPr>
              <w:t>湿度：(35～60)%</w:t>
            </w:r>
          </w:p>
        </w:tc>
      </w:tr>
      <w:tr w14:paraId="7850C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jc w:val="center"/>
        </w:trPr>
        <w:tc>
          <w:tcPr>
            <w:tcW w:w="2165" w:type="dxa"/>
            <w:vAlign w:val="center"/>
          </w:tcPr>
          <w:p w14:paraId="5A9C3C8F">
            <w:pPr>
              <w:snapToGrid w:val="0"/>
              <w:jc w:val="center"/>
              <w:rPr>
                <w:rFonts w:hint="eastAsia" w:ascii="宋体" w:hAnsi="宋体" w:cs="宋体"/>
                <w:kern w:val="0"/>
                <w:sz w:val="24"/>
              </w:rPr>
            </w:pPr>
            <w:r>
              <w:rPr>
                <w:rStyle w:val="19"/>
                <w:rFonts w:hint="eastAsia" w:ascii="宋体" w:hAnsi="宋体" w:cs="宋体"/>
                <w:sz w:val="24"/>
                <w:shd w:val="clear" w:color="auto" w:fill="FFFFFF"/>
              </w:rPr>
              <w:t>B类</w:t>
            </w:r>
            <w:r>
              <w:rPr>
                <w:rFonts w:hint="eastAsia" w:ascii="宋体" w:hAnsi="宋体" w:cs="宋体"/>
                <w:sz w:val="24"/>
                <w:shd w:val="clear" w:color="auto" w:fill="FFFFFF"/>
              </w:rPr>
              <w:br w:type="textWrapping"/>
            </w:r>
            <w:r>
              <w:rPr>
                <w:rFonts w:hint="eastAsia" w:ascii="宋体" w:hAnsi="宋体" w:cs="宋体"/>
                <w:sz w:val="24"/>
                <w:shd w:val="clear" w:color="auto" w:fill="FFFFFF"/>
              </w:rPr>
              <w:t>(0.1~2级)</w:t>
            </w:r>
          </w:p>
        </w:tc>
        <w:tc>
          <w:tcPr>
            <w:tcW w:w="4613" w:type="dxa"/>
            <w:vAlign w:val="center"/>
          </w:tcPr>
          <w:p w14:paraId="015B8127">
            <w:pPr>
              <w:snapToGrid w:val="0"/>
              <w:jc w:val="left"/>
              <w:rPr>
                <w:rFonts w:hint="eastAsia" w:ascii="宋体" w:hAnsi="宋体" w:cs="宋体"/>
                <w:kern w:val="0"/>
                <w:sz w:val="24"/>
              </w:rPr>
            </w:pPr>
            <w:r>
              <w:rPr>
                <w:rFonts w:hint="eastAsia" w:ascii="宋体" w:hAnsi="宋体" w:cs="宋体"/>
                <w:kern w:val="0"/>
                <w:sz w:val="24"/>
              </w:rPr>
              <w:t xml:space="preserve">标准电压互感器（或标准分压器）+ 数字电压测量表计组合装置 </w:t>
            </w:r>
          </w:p>
        </w:tc>
        <w:tc>
          <w:tcPr>
            <w:tcW w:w="5027" w:type="dxa"/>
            <w:vAlign w:val="center"/>
          </w:tcPr>
          <w:p w14:paraId="25F3FA5B">
            <w:pPr>
              <w:snapToGrid w:val="0"/>
              <w:jc w:val="left"/>
              <w:rPr>
                <w:rFonts w:hint="eastAsia" w:ascii="宋体" w:hAnsi="宋体" w:cs="宋体"/>
                <w:kern w:val="0"/>
                <w:sz w:val="24"/>
              </w:rPr>
            </w:pPr>
            <w:r>
              <w:rPr>
                <w:rFonts w:hint="eastAsia" w:ascii="宋体" w:hAnsi="宋体" w:cs="宋体"/>
                <w:sz w:val="24"/>
                <w:shd w:val="clear" w:color="auto" w:fill="FFFFFF"/>
              </w:rPr>
              <w:t>组合装置允许误差限 </w:t>
            </w:r>
          </w:p>
        </w:tc>
        <w:tc>
          <w:tcPr>
            <w:tcW w:w="2393" w:type="dxa"/>
            <w:vAlign w:val="center"/>
          </w:tcPr>
          <w:p w14:paraId="34EA1EC5">
            <w:pPr>
              <w:snapToGrid w:val="0"/>
              <w:jc w:val="left"/>
              <w:rPr>
                <w:rFonts w:hint="eastAsia" w:ascii="宋体" w:hAnsi="宋体" w:cs="宋体"/>
                <w:kern w:val="0"/>
                <w:sz w:val="24"/>
              </w:rPr>
            </w:pPr>
            <w:r>
              <w:rPr>
                <w:rFonts w:hint="eastAsia" w:ascii="宋体" w:hAnsi="宋体" w:cs="宋体"/>
                <w:kern w:val="0"/>
                <w:sz w:val="24"/>
              </w:rPr>
              <w:t>温度：(20±5)℃</w:t>
            </w:r>
          </w:p>
          <w:p w14:paraId="49E718E1">
            <w:pPr>
              <w:snapToGrid w:val="0"/>
              <w:jc w:val="left"/>
              <w:rPr>
                <w:rFonts w:hint="eastAsia" w:ascii="宋体" w:hAnsi="宋体" w:cs="宋体"/>
                <w:kern w:val="0"/>
                <w:sz w:val="24"/>
              </w:rPr>
            </w:pPr>
            <w:r>
              <w:rPr>
                <w:rFonts w:hint="eastAsia" w:ascii="宋体" w:hAnsi="宋体" w:cs="宋体"/>
                <w:kern w:val="0"/>
                <w:sz w:val="24"/>
              </w:rPr>
              <w:t>湿度：(35～60)%</w:t>
            </w:r>
          </w:p>
        </w:tc>
      </w:tr>
    </w:tbl>
    <w:p w14:paraId="2E457821">
      <w:pPr>
        <w:rPr>
          <w:kern w:val="0"/>
          <w:sz w:val="20"/>
          <w:szCs w:val="21"/>
        </w:rPr>
      </w:pPr>
    </w:p>
    <w:p w14:paraId="217AF6A7">
      <w:pPr>
        <w:rPr>
          <w:kern w:val="0"/>
          <w:sz w:val="20"/>
          <w:szCs w:val="21"/>
        </w:rPr>
      </w:pPr>
    </w:p>
    <w:p w14:paraId="05551AD8">
      <w:pPr>
        <w:rPr>
          <w:kern w:val="0"/>
          <w:sz w:val="20"/>
          <w:szCs w:val="21"/>
        </w:rPr>
      </w:pPr>
      <w:r>
        <w:rPr>
          <w:kern w:val="0"/>
          <w:sz w:val="20"/>
          <w:szCs w:val="21"/>
        </w:rPr>
        <w:br w:type="page"/>
      </w:r>
    </w:p>
    <w:p w14:paraId="2B20FBE8">
      <w:pPr>
        <w:jc w:val="left"/>
        <w:outlineLvl w:val="0"/>
        <w:rPr>
          <w:sz w:val="24"/>
        </w:rPr>
      </w:pPr>
      <w:r>
        <w:rPr>
          <w:rFonts w:hint="eastAsia"/>
          <w:sz w:val="24"/>
        </w:rPr>
        <w:t>附表4</w:t>
      </w:r>
    </w:p>
    <w:p w14:paraId="00235AD9">
      <w:pPr>
        <w:jc w:val="center"/>
        <w:outlineLvl w:val="0"/>
        <w:rPr>
          <w:sz w:val="24"/>
        </w:rPr>
      </w:pPr>
      <w:r>
        <w:rPr>
          <w:rFonts w:hint="eastAsia"/>
          <w:sz w:val="24"/>
        </w:rPr>
        <w:t>各单位工频高压分压器配置情况</w:t>
      </w:r>
    </w:p>
    <w:tbl>
      <w:tblPr>
        <w:tblStyle w:val="16"/>
        <w:tblW w:w="14174" w:type="dxa"/>
        <w:jc w:val="center"/>
        <w:tblLayout w:type="autofit"/>
        <w:tblCellMar>
          <w:top w:w="0" w:type="dxa"/>
          <w:left w:w="108" w:type="dxa"/>
          <w:bottom w:w="0" w:type="dxa"/>
          <w:right w:w="108" w:type="dxa"/>
        </w:tblCellMar>
      </w:tblPr>
      <w:tblGrid>
        <w:gridCol w:w="5987"/>
        <w:gridCol w:w="3125"/>
        <w:gridCol w:w="2780"/>
        <w:gridCol w:w="2282"/>
      </w:tblGrid>
      <w:tr w14:paraId="623A1778">
        <w:tblPrEx>
          <w:tblCellMar>
            <w:top w:w="0" w:type="dxa"/>
            <w:left w:w="108" w:type="dxa"/>
            <w:bottom w:w="0" w:type="dxa"/>
            <w:right w:w="108" w:type="dxa"/>
          </w:tblCellMar>
        </w:tblPrEx>
        <w:trPr>
          <w:tblHeade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3688B986">
            <w:pPr>
              <w:widowControl/>
              <w:snapToGrid w:val="0"/>
              <w:jc w:val="center"/>
              <w:textAlignment w:val="center"/>
              <w:rPr>
                <w:rFonts w:hint="eastAsia" w:ascii="宋体" w:hAnsi="等线" w:cs="等线"/>
                <w:b/>
                <w:color w:val="000000"/>
                <w:sz w:val="24"/>
                <w:szCs w:val="22"/>
              </w:rPr>
            </w:pPr>
            <w:r>
              <w:rPr>
                <w:rFonts w:hint="eastAsia" w:ascii="宋体" w:hAnsi="等线" w:cs="等线"/>
                <w:b/>
                <w:color w:val="000000"/>
                <w:kern w:val="0"/>
                <w:sz w:val="24"/>
                <w:szCs w:val="22"/>
                <w:lang w:bidi="ar"/>
              </w:rPr>
              <w:t>单位名称</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070226D1">
            <w:pPr>
              <w:widowControl/>
              <w:snapToGrid w:val="0"/>
              <w:jc w:val="center"/>
              <w:textAlignment w:val="center"/>
              <w:rPr>
                <w:rFonts w:hint="eastAsia" w:ascii="宋体" w:hAnsi="宋体" w:cs="宋体"/>
                <w:b/>
                <w:color w:val="000000"/>
                <w:sz w:val="24"/>
              </w:rPr>
            </w:pPr>
            <w:r>
              <w:rPr>
                <w:rFonts w:hint="eastAsia" w:ascii="宋体" w:hAnsi="宋体" w:cs="宋体"/>
                <w:b/>
                <w:color w:val="000000"/>
                <w:kern w:val="0"/>
                <w:sz w:val="24"/>
                <w:lang w:bidi="ar"/>
              </w:rPr>
              <w:t>单位类型</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0FEB0C4C">
            <w:pPr>
              <w:widowControl/>
              <w:snapToGrid w:val="0"/>
              <w:jc w:val="center"/>
              <w:textAlignment w:val="center"/>
              <w:rPr>
                <w:rFonts w:hint="eastAsia" w:ascii="宋体" w:hAnsi="宋体" w:cs="宋体"/>
                <w:b/>
                <w:color w:val="000000"/>
                <w:sz w:val="24"/>
              </w:rPr>
            </w:pPr>
            <w:r>
              <w:rPr>
                <w:rFonts w:hint="eastAsia" w:ascii="宋体" w:hAnsi="宋体" w:cs="宋体"/>
                <w:b/>
                <w:color w:val="000000"/>
                <w:kern w:val="0"/>
                <w:sz w:val="24"/>
                <w:lang w:bidi="ar"/>
              </w:rPr>
              <w:t>分压器配置情况</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783EDA1C">
            <w:pPr>
              <w:widowControl/>
              <w:snapToGrid w:val="0"/>
              <w:jc w:val="center"/>
              <w:textAlignment w:val="center"/>
              <w:rPr>
                <w:rFonts w:hint="eastAsia" w:ascii="宋体" w:hAnsi="等线" w:cs="等线"/>
                <w:b/>
                <w:color w:val="000000"/>
                <w:sz w:val="24"/>
                <w:szCs w:val="22"/>
              </w:rPr>
            </w:pPr>
            <w:r>
              <w:rPr>
                <w:rFonts w:hint="eastAsia" w:ascii="宋体" w:hAnsi="等线" w:cs="等线"/>
                <w:b/>
                <w:color w:val="000000"/>
                <w:kern w:val="0"/>
                <w:sz w:val="24"/>
                <w:szCs w:val="22"/>
                <w:lang w:bidi="ar"/>
              </w:rPr>
              <w:t>结构形式</w:t>
            </w:r>
          </w:p>
        </w:tc>
      </w:tr>
      <w:tr w14:paraId="1DEDC681">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232E7D52">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国家高电压计量站</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3ED81B2E">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计量技术机构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17EAA077">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A类、B类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6AC0B947">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电子式分压器</w:t>
            </w:r>
          </w:p>
        </w:tc>
      </w:tr>
      <w:tr w14:paraId="47E8F70B">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729C20DA">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西安高压电器研究院股份有限公司</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7C2B75ED">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计量技术机构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3AE7199B">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A类</w:t>
            </w:r>
            <w:r>
              <w:rPr>
                <w:rFonts w:hint="eastAsia" w:ascii="宋体" w:hAnsi="宋体" w:cs="宋体"/>
                <w:color w:val="FF0000"/>
                <w:kern w:val="0"/>
                <w:sz w:val="24"/>
                <w:highlight w:val="none"/>
                <w:lang w:bidi="ar"/>
              </w:rPr>
              <w:t>、</w:t>
            </w:r>
            <w:r>
              <w:rPr>
                <w:rFonts w:hint="eastAsia" w:ascii="宋体" w:hAnsi="宋体" w:cs="宋体"/>
                <w:color w:val="auto"/>
                <w:kern w:val="0"/>
                <w:sz w:val="24"/>
                <w:highlight w:val="red"/>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2CAE266F">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电子式分压器</w:t>
            </w:r>
          </w:p>
        </w:tc>
      </w:tr>
      <w:tr w14:paraId="3AE1A0A6">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6E0104C6">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宜昌市计量检定测试所</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1A18DC55">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计量技术机构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17BF3591">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70375102">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4CF4150A">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19049815">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武汉磐电科技股份有限公司</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2C2AFE4A">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高压设备生产单位</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1DF4B3FD">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46F707E5">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364AA98C">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2EA317E3">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湖北省计量技术测试研究院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3C539FEB">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高压设备生产单位</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42E0E825">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2055C663">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270D1EC8">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2FCB302F">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中国工程物理研究院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365E0A12">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计量技术机构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05229520">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64B7DF56">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7276A509">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3FE07F49">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苏州华电电气股份有限公司</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14BC959E">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高压设备生产单位</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68942E61">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7FD30062">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42FD1881">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4C2485AD">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江苏盛华电气有限公司</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66BED1B0">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高压设备生产单位</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4410CE10">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3307AC20">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7C8EC0BC">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1CFFA180">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武汉华特电气设备有限公司</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7C6BC1FB">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高压设备生产单位</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5E5FDFFF">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50E4CE99">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44E29B5D">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66506428">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江苏雷宇高电压设备有限公司</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580E8827">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高压设备生产单位</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2E033A38">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5A11D3EE">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73F14FA6">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1D5E1AB2">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南京普源电气有限公司</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12EDF3DA">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高压设备生产单位</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506CEB14">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4E9E11B2">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07681E3B">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6E106E7F">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苏州工业园区海沃科技有限公司</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0C1D904E">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高压设备生产单位</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62BCEA35">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6B3A9D9C">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398A9FF0">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3141B5FD">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国网湖北电力有限公司电力科学研究院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5C552AAA">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电网试验研究机构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651A9F90">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1216AC46">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414F0C28">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5478B46E">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国网浙江电力有限公司电力科学研究院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6EBA4C61">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电网试验研究机构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2AEBB4B7">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66D1B26E">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234C2EBC">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1E14733F">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国网山东电力有限公司电力科学研究院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1E783F33">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电网试验研究机构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32207729">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475B4318">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7316181D">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5F392C7C">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国网四川电力公司营销服务中心</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79C0EC3F">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电网试验研究机构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0751B12C">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000466A8">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62009DEE">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4A9786AF">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国网湖北电力有限公司电力科学研究院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15EEF0D4">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电网试验研究机构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42372232">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5735547E">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2984D33E">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24568DAC">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国网山东电力有限公司电力科学研究院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5CDC8A72">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电网试验研究机构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11F4E2C9">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4FC0941C">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01BBC5B6">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37505A44">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国网湖南电力有限公司电力科学研究院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3E7CCD68">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电网试验研究机构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02BB7A72">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6CFE511A">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316DA297">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5A40AA96">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国网新疆电力有限公司电力科学研究院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5DB70BF3">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电网试验研究机构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1FB935E3">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2E10CFD5">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1CD5063A">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5449EAE7">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国网陕西电力有限公司电力科学研究院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5A8A9464">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电网试验研究机构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48A7E70A">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4F4EC946">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757C7524">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53F27DBA">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国网安徽电力有限公司电力科学研究院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3DD113FC">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电网试验研究机构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6217EDA1">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2142B625">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2AE26BA8">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4B7579A1">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国网河北电力有限公司电力科学研究院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2A443009">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电网试验研究机构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7177DF6B">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7BA78031">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380A36BC">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082B8F85">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国网陕西电力有限公司电力科学研究院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5B911D52">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电网试验研究机构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3C97A395">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13735EEE">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69395A3F">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3DFADD77">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中国测试技术研究院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756E8C31">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计量技术机构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7A05C677">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4F88B398">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5F3CDB0B">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076C753D">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中国计量科学研究院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4F29609A">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计量技术机构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11F20463">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A类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337F201C">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电子式分压器</w:t>
            </w:r>
          </w:p>
        </w:tc>
      </w:tr>
      <w:tr w14:paraId="3047A01A">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47A5C2D6">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中国电力科学研究院</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78AA7E86">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电网试验研究机构</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5789E2D1">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6034A085">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41BB1FFC">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3A847A5D">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上海思创电器设备有限公司</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467DF29C">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高压设备生产单位</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077B8606">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69574757">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56B0E288">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5E58302B">
            <w:pPr>
              <w:widowControl/>
              <w:snapToGrid w:val="0"/>
              <w:jc w:val="center"/>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四川省绵竹西南电工设备有限责任公司</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6A04CC54">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高压设备生产单位</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2ED4E974">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347A71F4">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r w14:paraId="2DAB824D">
        <w:tblPrEx>
          <w:tblCellMar>
            <w:top w:w="0" w:type="dxa"/>
            <w:left w:w="108" w:type="dxa"/>
            <w:bottom w:w="0" w:type="dxa"/>
            <w:right w:w="108" w:type="dxa"/>
          </w:tblCellMar>
        </w:tblPrEx>
        <w:trPr>
          <w:jc w:val="center"/>
        </w:trPr>
        <w:tc>
          <w:tcPr>
            <w:tcW w:w="5987" w:type="dxa"/>
            <w:tcBorders>
              <w:top w:val="single" w:color="000000" w:sz="4" w:space="0"/>
              <w:left w:val="single" w:color="000000" w:sz="4" w:space="0"/>
              <w:bottom w:val="single" w:color="000000" w:sz="4" w:space="0"/>
              <w:right w:val="single" w:color="000000" w:sz="4" w:space="0"/>
            </w:tcBorders>
            <w:noWrap/>
            <w:vAlign w:val="center"/>
          </w:tcPr>
          <w:p w14:paraId="0146E8D4">
            <w:pPr>
              <w:widowControl/>
              <w:snapToGrid w:val="0"/>
              <w:jc w:val="center"/>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苏州思源特种电力电容器有限公司</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52EE3D6C">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高压设备生产单位</w:t>
            </w:r>
          </w:p>
        </w:tc>
        <w:tc>
          <w:tcPr>
            <w:tcW w:w="2780" w:type="dxa"/>
            <w:tcBorders>
              <w:top w:val="single" w:color="000000" w:sz="4" w:space="0"/>
              <w:left w:val="single" w:color="000000" w:sz="4" w:space="0"/>
              <w:bottom w:val="single" w:color="000000" w:sz="4" w:space="0"/>
              <w:right w:val="single" w:color="000000" w:sz="4" w:space="0"/>
            </w:tcBorders>
            <w:noWrap/>
            <w:vAlign w:val="center"/>
          </w:tcPr>
          <w:p w14:paraId="5543ABE7">
            <w:pPr>
              <w:widowControl/>
              <w:snapToGrid w:val="0"/>
              <w:jc w:val="center"/>
              <w:textAlignment w:val="center"/>
              <w:rPr>
                <w:rFonts w:hint="eastAsia" w:ascii="宋体" w:hAnsi="宋体" w:cs="宋体"/>
                <w:color w:val="000000"/>
                <w:sz w:val="24"/>
              </w:rPr>
            </w:pPr>
            <w:r>
              <w:rPr>
                <w:rFonts w:hint="eastAsia" w:ascii="宋体" w:hAnsi="宋体" w:cs="宋体"/>
                <w:color w:val="000000"/>
                <w:kern w:val="0"/>
                <w:sz w:val="24"/>
                <w:lang w:bidi="ar"/>
              </w:rPr>
              <w:t>B类</w:t>
            </w:r>
          </w:p>
        </w:tc>
        <w:tc>
          <w:tcPr>
            <w:tcW w:w="2282" w:type="dxa"/>
            <w:tcBorders>
              <w:top w:val="single" w:color="000000" w:sz="4" w:space="0"/>
              <w:left w:val="single" w:color="000000" w:sz="4" w:space="0"/>
              <w:bottom w:val="single" w:color="000000" w:sz="4" w:space="0"/>
              <w:right w:val="single" w:color="000000" w:sz="4" w:space="0"/>
            </w:tcBorders>
            <w:noWrap/>
            <w:vAlign w:val="center"/>
          </w:tcPr>
          <w:p w14:paraId="0403CE8F">
            <w:pPr>
              <w:widowControl/>
              <w:snapToGrid w:val="0"/>
              <w:jc w:val="left"/>
              <w:textAlignment w:val="center"/>
              <w:rPr>
                <w:rFonts w:hint="eastAsia" w:ascii="宋体" w:hAnsi="等线" w:cs="等线"/>
                <w:color w:val="000000"/>
                <w:sz w:val="24"/>
                <w:szCs w:val="22"/>
              </w:rPr>
            </w:pPr>
            <w:r>
              <w:rPr>
                <w:rFonts w:hint="eastAsia" w:ascii="宋体" w:hAnsi="等线" w:cs="等线"/>
                <w:color w:val="000000"/>
                <w:kern w:val="0"/>
                <w:sz w:val="24"/>
                <w:szCs w:val="22"/>
                <w:lang w:bidi="ar"/>
              </w:rPr>
              <w:t>电容式分压器</w:t>
            </w:r>
          </w:p>
        </w:tc>
      </w:tr>
    </w:tbl>
    <w:p w14:paraId="1AD16117">
      <w:pPr>
        <w:rPr>
          <w:kern w:val="0"/>
          <w:sz w:val="20"/>
          <w:szCs w:val="21"/>
        </w:rPr>
      </w:pPr>
    </w:p>
    <w:p w14:paraId="5AB45321">
      <w:pPr>
        <w:spacing w:line="360" w:lineRule="auto"/>
        <w:rPr>
          <w:sz w:val="28"/>
          <w:szCs w:val="28"/>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3D7FB">
    <w:pPr>
      <w:pStyle w:val="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4633627"/>
    </w:sdtPr>
    <w:sdtContent>
      <w:p w14:paraId="352061A2">
        <w:pPr>
          <w:pStyle w:val="9"/>
          <w:jc w:val="center"/>
        </w:pPr>
        <w:sdt>
          <w:sdtPr>
            <w:id w:val="930553966"/>
          </w:sdtPr>
          <w:sdtContent>
            <w:r>
              <w:rPr>
                <w:rFonts w:hint="eastAsia"/>
              </w:rPr>
              <w:t>第</w:t>
            </w:r>
            <w:r>
              <w:rPr>
                <w:lang w:val="zh-CN"/>
              </w:rPr>
              <w:t xml:space="preserve"> </w:t>
            </w:r>
            <w:r>
              <w:rPr>
                <w:sz w:val="24"/>
                <w:szCs w:val="24"/>
              </w:rPr>
              <w:fldChar w:fldCharType="begin"/>
            </w:r>
            <w:r>
              <w:instrText xml:space="preserve">PAGE</w:instrText>
            </w:r>
            <w:r>
              <w:rPr>
                <w:sz w:val="24"/>
                <w:szCs w:val="24"/>
              </w:rPr>
              <w:fldChar w:fldCharType="separate"/>
            </w:r>
            <w:r>
              <w:rPr>
                <w:lang w:val="zh-CN"/>
              </w:rPr>
              <w:t>2</w:t>
            </w:r>
            <w:r>
              <w:rPr>
                <w:sz w:val="24"/>
                <w:szCs w:val="24"/>
              </w:rPr>
              <w:fldChar w:fldCharType="end"/>
            </w:r>
            <w:r>
              <w:rPr>
                <w:lang w:val="zh-CN"/>
              </w:rPr>
              <w:t xml:space="preserve"> </w:t>
            </w:r>
            <w:r>
              <w:rPr>
                <w:rFonts w:hint="eastAsia"/>
                <w:lang w:val="zh-CN"/>
              </w:rPr>
              <w:t xml:space="preserve">页 </w:t>
            </w:r>
            <w:r>
              <w:rPr>
                <w:lang w:val="zh-CN"/>
              </w:rPr>
              <w:t xml:space="preserve">/ </w:t>
            </w:r>
            <w:r>
              <w:rPr>
                <w:rFonts w:hint="eastAsia"/>
                <w:lang w:val="zh-CN"/>
              </w:rPr>
              <w:t xml:space="preserve">共 </w:t>
            </w:r>
            <w:r>
              <w:rPr>
                <w:rFonts w:hint="eastAsia"/>
              </w:rPr>
              <w:t>11 页</w:t>
            </w:r>
          </w:sdtContent>
        </w:sdt>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0D3A6">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B5C176"/>
    <w:multiLevelType w:val="multilevel"/>
    <w:tmpl w:val="94B5C176"/>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59017C67"/>
    <w:multiLevelType w:val="singleLevel"/>
    <w:tmpl w:val="59017C67"/>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DB7"/>
    <w:rsid w:val="00043946"/>
    <w:rsid w:val="00045B1A"/>
    <w:rsid w:val="0004779A"/>
    <w:rsid w:val="00050348"/>
    <w:rsid w:val="00071E23"/>
    <w:rsid w:val="00083283"/>
    <w:rsid w:val="0008623D"/>
    <w:rsid w:val="0009608E"/>
    <w:rsid w:val="00097FBD"/>
    <w:rsid w:val="000A093F"/>
    <w:rsid w:val="000B0C66"/>
    <w:rsid w:val="000B4236"/>
    <w:rsid w:val="000F0246"/>
    <w:rsid w:val="000F2BA8"/>
    <w:rsid w:val="001239C8"/>
    <w:rsid w:val="001344F1"/>
    <w:rsid w:val="00187961"/>
    <w:rsid w:val="001A64E5"/>
    <w:rsid w:val="001B3421"/>
    <w:rsid w:val="001B7CB7"/>
    <w:rsid w:val="001E14B7"/>
    <w:rsid w:val="001F0292"/>
    <w:rsid w:val="00206BFC"/>
    <w:rsid w:val="00207BFA"/>
    <w:rsid w:val="00211179"/>
    <w:rsid w:val="00223B2A"/>
    <w:rsid w:val="00237D1B"/>
    <w:rsid w:val="00247684"/>
    <w:rsid w:val="002624A9"/>
    <w:rsid w:val="002627C3"/>
    <w:rsid w:val="00265ED4"/>
    <w:rsid w:val="00287C0D"/>
    <w:rsid w:val="002C51D4"/>
    <w:rsid w:val="002E56FD"/>
    <w:rsid w:val="00320A6A"/>
    <w:rsid w:val="00333DB7"/>
    <w:rsid w:val="0035176D"/>
    <w:rsid w:val="00367742"/>
    <w:rsid w:val="00371E03"/>
    <w:rsid w:val="0037272F"/>
    <w:rsid w:val="003734D8"/>
    <w:rsid w:val="00374D58"/>
    <w:rsid w:val="003918CE"/>
    <w:rsid w:val="003927B2"/>
    <w:rsid w:val="003A1D94"/>
    <w:rsid w:val="003B1ED1"/>
    <w:rsid w:val="003B7875"/>
    <w:rsid w:val="003C1FE7"/>
    <w:rsid w:val="003C4BB4"/>
    <w:rsid w:val="00421E77"/>
    <w:rsid w:val="00425D64"/>
    <w:rsid w:val="00435B37"/>
    <w:rsid w:val="004555EC"/>
    <w:rsid w:val="004728D4"/>
    <w:rsid w:val="00481ADD"/>
    <w:rsid w:val="0048458B"/>
    <w:rsid w:val="004A1589"/>
    <w:rsid w:val="004A6A43"/>
    <w:rsid w:val="004E317E"/>
    <w:rsid w:val="004E720F"/>
    <w:rsid w:val="005029A4"/>
    <w:rsid w:val="00525732"/>
    <w:rsid w:val="00542C2C"/>
    <w:rsid w:val="00552AD0"/>
    <w:rsid w:val="00553C0F"/>
    <w:rsid w:val="00553DB9"/>
    <w:rsid w:val="00570B9C"/>
    <w:rsid w:val="005710FC"/>
    <w:rsid w:val="00575FA1"/>
    <w:rsid w:val="00587F8A"/>
    <w:rsid w:val="00590275"/>
    <w:rsid w:val="0059650C"/>
    <w:rsid w:val="005A72C3"/>
    <w:rsid w:val="005B5C03"/>
    <w:rsid w:val="005C6FC7"/>
    <w:rsid w:val="005C7B2B"/>
    <w:rsid w:val="005F545E"/>
    <w:rsid w:val="0061648C"/>
    <w:rsid w:val="00635BD2"/>
    <w:rsid w:val="006403C5"/>
    <w:rsid w:val="006518E7"/>
    <w:rsid w:val="00654924"/>
    <w:rsid w:val="006609BE"/>
    <w:rsid w:val="006860A3"/>
    <w:rsid w:val="00687185"/>
    <w:rsid w:val="00692E42"/>
    <w:rsid w:val="006E011D"/>
    <w:rsid w:val="00701F33"/>
    <w:rsid w:val="0072130A"/>
    <w:rsid w:val="007221ED"/>
    <w:rsid w:val="0073000D"/>
    <w:rsid w:val="0073523E"/>
    <w:rsid w:val="00745FE3"/>
    <w:rsid w:val="00756EB2"/>
    <w:rsid w:val="00760535"/>
    <w:rsid w:val="007726F8"/>
    <w:rsid w:val="00781A50"/>
    <w:rsid w:val="007925CF"/>
    <w:rsid w:val="007930A8"/>
    <w:rsid w:val="007C1F23"/>
    <w:rsid w:val="007C4628"/>
    <w:rsid w:val="007E5D96"/>
    <w:rsid w:val="007F1218"/>
    <w:rsid w:val="007F47CE"/>
    <w:rsid w:val="00800B11"/>
    <w:rsid w:val="0080121E"/>
    <w:rsid w:val="00831A83"/>
    <w:rsid w:val="00832145"/>
    <w:rsid w:val="00833FCE"/>
    <w:rsid w:val="008349D8"/>
    <w:rsid w:val="00851FBE"/>
    <w:rsid w:val="008559FE"/>
    <w:rsid w:val="00856E12"/>
    <w:rsid w:val="0086345F"/>
    <w:rsid w:val="00872C32"/>
    <w:rsid w:val="00874C0D"/>
    <w:rsid w:val="0087608F"/>
    <w:rsid w:val="008A27AF"/>
    <w:rsid w:val="008B3711"/>
    <w:rsid w:val="008C06E8"/>
    <w:rsid w:val="008C551A"/>
    <w:rsid w:val="008D251D"/>
    <w:rsid w:val="008D7550"/>
    <w:rsid w:val="008D7967"/>
    <w:rsid w:val="00904B7D"/>
    <w:rsid w:val="009058AF"/>
    <w:rsid w:val="00907888"/>
    <w:rsid w:val="00917209"/>
    <w:rsid w:val="00930D04"/>
    <w:rsid w:val="00957A02"/>
    <w:rsid w:val="00975AB8"/>
    <w:rsid w:val="00985E76"/>
    <w:rsid w:val="00987C8D"/>
    <w:rsid w:val="009A34C0"/>
    <w:rsid w:val="009C621C"/>
    <w:rsid w:val="009E65D6"/>
    <w:rsid w:val="009F35BE"/>
    <w:rsid w:val="009F493B"/>
    <w:rsid w:val="00A05DD8"/>
    <w:rsid w:val="00A137C6"/>
    <w:rsid w:val="00A27D6D"/>
    <w:rsid w:val="00A301E0"/>
    <w:rsid w:val="00A45D3E"/>
    <w:rsid w:val="00A74E58"/>
    <w:rsid w:val="00A8255E"/>
    <w:rsid w:val="00A84C0D"/>
    <w:rsid w:val="00A87CFA"/>
    <w:rsid w:val="00A968FD"/>
    <w:rsid w:val="00AE11EF"/>
    <w:rsid w:val="00AF2380"/>
    <w:rsid w:val="00B00ADC"/>
    <w:rsid w:val="00B0489E"/>
    <w:rsid w:val="00B3728D"/>
    <w:rsid w:val="00B4063E"/>
    <w:rsid w:val="00B44011"/>
    <w:rsid w:val="00B52ECC"/>
    <w:rsid w:val="00B745ED"/>
    <w:rsid w:val="00B975BE"/>
    <w:rsid w:val="00BA10D5"/>
    <w:rsid w:val="00BA4E80"/>
    <w:rsid w:val="00BB2E90"/>
    <w:rsid w:val="00BC7BB4"/>
    <w:rsid w:val="00BF2ED6"/>
    <w:rsid w:val="00C01140"/>
    <w:rsid w:val="00C0534D"/>
    <w:rsid w:val="00C07E3F"/>
    <w:rsid w:val="00C1417C"/>
    <w:rsid w:val="00C243E8"/>
    <w:rsid w:val="00C2594E"/>
    <w:rsid w:val="00C43F11"/>
    <w:rsid w:val="00C460F9"/>
    <w:rsid w:val="00C52FBD"/>
    <w:rsid w:val="00C87184"/>
    <w:rsid w:val="00C94C79"/>
    <w:rsid w:val="00C9515A"/>
    <w:rsid w:val="00CB2DE8"/>
    <w:rsid w:val="00CB5234"/>
    <w:rsid w:val="00CC01A6"/>
    <w:rsid w:val="00CC2857"/>
    <w:rsid w:val="00CE3A90"/>
    <w:rsid w:val="00CF08F8"/>
    <w:rsid w:val="00D0449D"/>
    <w:rsid w:val="00D145B8"/>
    <w:rsid w:val="00D16939"/>
    <w:rsid w:val="00D2500B"/>
    <w:rsid w:val="00D25B50"/>
    <w:rsid w:val="00D3413D"/>
    <w:rsid w:val="00D34E12"/>
    <w:rsid w:val="00D54929"/>
    <w:rsid w:val="00D571E6"/>
    <w:rsid w:val="00D6127A"/>
    <w:rsid w:val="00D770E4"/>
    <w:rsid w:val="00D939B5"/>
    <w:rsid w:val="00DB397D"/>
    <w:rsid w:val="00DB41AE"/>
    <w:rsid w:val="00DC696D"/>
    <w:rsid w:val="00DC6C4C"/>
    <w:rsid w:val="00DD7526"/>
    <w:rsid w:val="00DE0307"/>
    <w:rsid w:val="00E0488B"/>
    <w:rsid w:val="00E06C7B"/>
    <w:rsid w:val="00E3220B"/>
    <w:rsid w:val="00E35FA0"/>
    <w:rsid w:val="00E67DD2"/>
    <w:rsid w:val="00E709AF"/>
    <w:rsid w:val="00E72A67"/>
    <w:rsid w:val="00E77BE3"/>
    <w:rsid w:val="00EA0C92"/>
    <w:rsid w:val="00EA534D"/>
    <w:rsid w:val="00EB2DB4"/>
    <w:rsid w:val="00EB708D"/>
    <w:rsid w:val="00ED1431"/>
    <w:rsid w:val="00EE0979"/>
    <w:rsid w:val="00F07F16"/>
    <w:rsid w:val="00F11CC2"/>
    <w:rsid w:val="00F257BA"/>
    <w:rsid w:val="00F3189E"/>
    <w:rsid w:val="00F32CCF"/>
    <w:rsid w:val="00F362F1"/>
    <w:rsid w:val="00F368AA"/>
    <w:rsid w:val="00F6140C"/>
    <w:rsid w:val="00F61A48"/>
    <w:rsid w:val="00F761D8"/>
    <w:rsid w:val="00F819F4"/>
    <w:rsid w:val="00FA2272"/>
    <w:rsid w:val="00FA3C1D"/>
    <w:rsid w:val="00FC34C7"/>
    <w:rsid w:val="00FC7DE7"/>
    <w:rsid w:val="00FD0EDF"/>
    <w:rsid w:val="00FE3921"/>
    <w:rsid w:val="04F33787"/>
    <w:rsid w:val="0E0B1044"/>
    <w:rsid w:val="109839E6"/>
    <w:rsid w:val="12DF6FC3"/>
    <w:rsid w:val="15C251DC"/>
    <w:rsid w:val="1968609A"/>
    <w:rsid w:val="1B436E51"/>
    <w:rsid w:val="1E87522B"/>
    <w:rsid w:val="220C7DD2"/>
    <w:rsid w:val="22434C6D"/>
    <w:rsid w:val="27541A0C"/>
    <w:rsid w:val="32266222"/>
    <w:rsid w:val="332826CA"/>
    <w:rsid w:val="36C65597"/>
    <w:rsid w:val="38880B04"/>
    <w:rsid w:val="3A553114"/>
    <w:rsid w:val="3DD605C3"/>
    <w:rsid w:val="3E4B205E"/>
    <w:rsid w:val="3F201F5A"/>
    <w:rsid w:val="3F422D66"/>
    <w:rsid w:val="3F9C44E8"/>
    <w:rsid w:val="43EF2D90"/>
    <w:rsid w:val="4E683595"/>
    <w:rsid w:val="666540A9"/>
    <w:rsid w:val="6CEB7CE9"/>
    <w:rsid w:val="76375D4D"/>
    <w:rsid w:val="791B7700"/>
    <w:rsid w:val="7A0315A0"/>
    <w:rsid w:val="7DBE7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
    <w:pPr>
      <w:keepNext/>
      <w:keepLines/>
      <w:spacing w:line="360" w:lineRule="auto"/>
      <w:outlineLvl w:val="0"/>
    </w:pPr>
    <w:rPr>
      <w:rFonts w:asciiTheme="minorHAnsi" w:hAnsiTheme="minorHAnsi" w:cstheme="minorBidi"/>
      <w:b/>
      <w:bCs/>
      <w:kern w:val="44"/>
      <w:sz w:val="28"/>
      <w:szCs w:val="44"/>
    </w:rPr>
  </w:style>
  <w:style w:type="paragraph" w:styleId="3">
    <w:name w:val="heading 2"/>
    <w:basedOn w:val="1"/>
    <w:next w:val="1"/>
    <w:link w:val="31"/>
    <w:unhideWhenUsed/>
    <w:qFormat/>
    <w:uiPriority w:val="9"/>
    <w:pPr>
      <w:keepNext/>
      <w:keepLines/>
      <w:spacing w:line="360" w:lineRule="auto"/>
      <w:ind w:firstLine="200" w:firstLineChars="200"/>
      <w:outlineLvl w:val="1"/>
    </w:pPr>
    <w:rPr>
      <w:rFonts w:cstheme="majorBidi"/>
      <w:b/>
      <w:bCs/>
      <w:sz w:val="24"/>
      <w:szCs w:val="32"/>
    </w:rPr>
  </w:style>
  <w:style w:type="paragraph" w:styleId="4">
    <w:name w:val="heading 3"/>
    <w:basedOn w:val="1"/>
    <w:next w:val="1"/>
    <w:link w:val="32"/>
    <w:unhideWhenUsed/>
    <w:qFormat/>
    <w:uiPriority w:val="9"/>
    <w:pPr>
      <w:keepNext/>
      <w:keepLines/>
      <w:spacing w:line="360" w:lineRule="auto"/>
      <w:ind w:firstLine="200" w:firstLineChars="200"/>
      <w:outlineLvl w:val="2"/>
    </w:pPr>
    <w:rPr>
      <w:b/>
      <w:bCs/>
      <w:sz w:val="24"/>
      <w:szCs w:val="3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35"/>
    <w:semiHidden/>
    <w:unhideWhenUsed/>
    <w:qFormat/>
    <w:uiPriority w:val="99"/>
    <w:pPr>
      <w:jc w:val="left"/>
    </w:pPr>
  </w:style>
  <w:style w:type="paragraph" w:styleId="6">
    <w:name w:val="toc 3"/>
    <w:basedOn w:val="1"/>
    <w:next w:val="1"/>
    <w:autoRedefine/>
    <w:unhideWhenUsed/>
    <w:qFormat/>
    <w:uiPriority w:val="39"/>
    <w:pPr>
      <w:ind w:left="840" w:leftChars="400"/>
    </w:pPr>
  </w:style>
  <w:style w:type="paragraph" w:styleId="7">
    <w:name w:val="Date"/>
    <w:basedOn w:val="1"/>
    <w:next w:val="1"/>
    <w:link w:val="28"/>
    <w:semiHidden/>
    <w:unhideWhenUsed/>
    <w:qFormat/>
    <w:uiPriority w:val="99"/>
    <w:pPr>
      <w:ind w:left="100" w:leftChars="2500"/>
    </w:pPr>
  </w:style>
  <w:style w:type="paragraph" w:styleId="8">
    <w:name w:val="Body Text Indent 2"/>
    <w:basedOn w:val="1"/>
    <w:link w:val="30"/>
    <w:qFormat/>
    <w:uiPriority w:val="0"/>
    <w:pPr>
      <w:spacing w:line="320" w:lineRule="exact"/>
      <w:ind w:firstLine="420"/>
    </w:pPr>
    <w:rPr>
      <w:rFonts w:asciiTheme="minorHAnsi" w:hAnsiTheme="minorHAnsi" w:eastAsiaTheme="minorEastAsia" w:cstheme="minorBidi"/>
      <w:szCs w:val="22"/>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style>
  <w:style w:type="paragraph" w:styleId="12">
    <w:name w:val="Subtitle"/>
    <w:basedOn w:val="1"/>
    <w:next w:val="1"/>
    <w:link w:val="25"/>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3">
    <w:name w:val="toc 2"/>
    <w:basedOn w:val="1"/>
    <w:next w:val="1"/>
    <w:autoRedefine/>
    <w:unhideWhenUsed/>
    <w:qFormat/>
    <w:uiPriority w:val="39"/>
    <w:pPr>
      <w:ind w:left="420" w:leftChars="200"/>
    </w:pPr>
  </w:style>
  <w:style w:type="paragraph" w:styleId="14">
    <w:name w:val="Title"/>
    <w:basedOn w:val="1"/>
    <w:next w:val="1"/>
    <w:link w:val="27"/>
    <w:qFormat/>
    <w:uiPriority w:val="0"/>
    <w:pPr>
      <w:spacing w:before="240" w:after="60"/>
      <w:jc w:val="center"/>
      <w:outlineLvl w:val="0"/>
    </w:pPr>
    <w:rPr>
      <w:rFonts w:ascii="Cambria" w:hAnsi="Cambria"/>
      <w:b/>
      <w:bCs/>
      <w:kern w:val="0"/>
      <w:sz w:val="32"/>
      <w:szCs w:val="32"/>
    </w:rPr>
  </w:style>
  <w:style w:type="paragraph" w:styleId="15">
    <w:name w:val="annotation subject"/>
    <w:basedOn w:val="5"/>
    <w:next w:val="5"/>
    <w:link w:val="36"/>
    <w:semiHidden/>
    <w:unhideWhenUsed/>
    <w:qFormat/>
    <w:uiPriority w:val="99"/>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Hyperlink"/>
    <w:basedOn w:val="18"/>
    <w:unhideWhenUsed/>
    <w:qFormat/>
    <w:uiPriority w:val="99"/>
    <w:rPr>
      <w:color w:val="0563C1" w:themeColor="hyperlink"/>
      <w:u w:val="single"/>
      <w14:textFill>
        <w14:solidFill>
          <w14:schemeClr w14:val="hlink"/>
        </w14:solidFill>
      </w14:textFill>
    </w:rPr>
  </w:style>
  <w:style w:type="character" w:styleId="21">
    <w:name w:val="annotation reference"/>
    <w:basedOn w:val="18"/>
    <w:semiHidden/>
    <w:unhideWhenUsed/>
    <w:qFormat/>
    <w:uiPriority w:val="99"/>
    <w:rPr>
      <w:sz w:val="21"/>
      <w:szCs w:val="21"/>
    </w:rPr>
  </w:style>
  <w:style w:type="character" w:customStyle="1" w:styleId="22">
    <w:name w:val="页眉 字符"/>
    <w:basedOn w:val="18"/>
    <w:link w:val="10"/>
    <w:qFormat/>
    <w:uiPriority w:val="99"/>
    <w:rPr>
      <w:sz w:val="18"/>
      <w:szCs w:val="18"/>
    </w:rPr>
  </w:style>
  <w:style w:type="character" w:customStyle="1" w:styleId="23">
    <w:name w:val="页脚 字符"/>
    <w:basedOn w:val="18"/>
    <w:link w:val="9"/>
    <w:qFormat/>
    <w:uiPriority w:val="99"/>
    <w:rPr>
      <w:sz w:val="18"/>
      <w:szCs w:val="18"/>
    </w:rPr>
  </w:style>
  <w:style w:type="paragraph" w:styleId="24">
    <w:name w:val="List Paragraph"/>
    <w:basedOn w:val="1"/>
    <w:qFormat/>
    <w:uiPriority w:val="34"/>
    <w:pPr>
      <w:ind w:firstLine="420" w:firstLineChars="200"/>
    </w:pPr>
  </w:style>
  <w:style w:type="character" w:customStyle="1" w:styleId="25">
    <w:name w:val="副标题 字符"/>
    <w:basedOn w:val="18"/>
    <w:link w:val="12"/>
    <w:qFormat/>
    <w:uiPriority w:val="11"/>
    <w:rPr>
      <w:b/>
      <w:bCs/>
      <w:kern w:val="28"/>
      <w:sz w:val="32"/>
      <w:szCs w:val="32"/>
    </w:rPr>
  </w:style>
  <w:style w:type="character" w:customStyle="1" w:styleId="26">
    <w:name w:val="标题 字符"/>
    <w:basedOn w:val="18"/>
    <w:qFormat/>
    <w:uiPriority w:val="10"/>
    <w:rPr>
      <w:rFonts w:asciiTheme="majorHAnsi" w:hAnsiTheme="majorHAnsi" w:eastAsiaTheme="majorEastAsia" w:cstheme="majorBidi"/>
      <w:b/>
      <w:bCs/>
      <w:sz w:val="32"/>
      <w:szCs w:val="32"/>
    </w:rPr>
  </w:style>
  <w:style w:type="character" w:customStyle="1" w:styleId="27">
    <w:name w:val="标题 字符1"/>
    <w:link w:val="14"/>
    <w:qFormat/>
    <w:uiPriority w:val="0"/>
    <w:rPr>
      <w:rFonts w:ascii="Cambria" w:hAnsi="Cambria" w:eastAsia="宋体" w:cs="Times New Roman"/>
      <w:b/>
      <w:bCs/>
      <w:kern w:val="0"/>
      <w:sz w:val="32"/>
      <w:szCs w:val="32"/>
    </w:rPr>
  </w:style>
  <w:style w:type="character" w:customStyle="1" w:styleId="28">
    <w:name w:val="日期 字符"/>
    <w:basedOn w:val="18"/>
    <w:link w:val="7"/>
    <w:semiHidden/>
    <w:qFormat/>
    <w:uiPriority w:val="99"/>
    <w:rPr>
      <w:rFonts w:ascii="Times New Roman" w:hAnsi="Times New Roman" w:eastAsia="宋体" w:cs="Times New Roman"/>
      <w:szCs w:val="24"/>
    </w:rPr>
  </w:style>
  <w:style w:type="character" w:customStyle="1" w:styleId="29">
    <w:name w:val="标题 1 字符"/>
    <w:basedOn w:val="18"/>
    <w:link w:val="2"/>
    <w:qFormat/>
    <w:uiPriority w:val="9"/>
    <w:rPr>
      <w:rFonts w:eastAsia="宋体"/>
      <w:b/>
      <w:bCs/>
      <w:kern w:val="44"/>
      <w:sz w:val="28"/>
      <w:szCs w:val="44"/>
    </w:rPr>
  </w:style>
  <w:style w:type="character" w:customStyle="1" w:styleId="30">
    <w:name w:val="正文文本缩进 2 字符"/>
    <w:basedOn w:val="18"/>
    <w:link w:val="8"/>
    <w:qFormat/>
    <w:uiPriority w:val="0"/>
  </w:style>
  <w:style w:type="character" w:customStyle="1" w:styleId="31">
    <w:name w:val="标题 2 字符"/>
    <w:basedOn w:val="18"/>
    <w:link w:val="3"/>
    <w:qFormat/>
    <w:uiPriority w:val="9"/>
    <w:rPr>
      <w:rFonts w:ascii="Times New Roman" w:hAnsi="Times New Roman" w:eastAsia="宋体" w:cstheme="majorBidi"/>
      <w:b/>
      <w:bCs/>
      <w:sz w:val="24"/>
      <w:szCs w:val="32"/>
    </w:rPr>
  </w:style>
  <w:style w:type="character" w:customStyle="1" w:styleId="32">
    <w:name w:val="标题 3 字符"/>
    <w:basedOn w:val="18"/>
    <w:link w:val="4"/>
    <w:qFormat/>
    <w:uiPriority w:val="9"/>
    <w:rPr>
      <w:rFonts w:ascii="Times New Roman" w:hAnsi="Times New Roman" w:eastAsia="宋体" w:cs="Times New Roman"/>
      <w:b/>
      <w:bCs/>
      <w:sz w:val="24"/>
      <w:szCs w:val="32"/>
    </w:rPr>
  </w:style>
  <w:style w:type="paragraph" w:customStyle="1" w:styleId="33">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34">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5">
    <w:name w:val="批注文字 字符"/>
    <w:basedOn w:val="18"/>
    <w:link w:val="5"/>
    <w:semiHidden/>
    <w:qFormat/>
    <w:uiPriority w:val="99"/>
    <w:rPr>
      <w:kern w:val="2"/>
      <w:sz w:val="21"/>
      <w:szCs w:val="24"/>
    </w:rPr>
  </w:style>
  <w:style w:type="character" w:customStyle="1" w:styleId="36">
    <w:name w:val="批注主题 字符"/>
    <w:basedOn w:val="35"/>
    <w:link w:val="15"/>
    <w:semiHidden/>
    <w:qFormat/>
    <w:uiPriority w:val="99"/>
    <w:rPr>
      <w:b/>
      <w:bCs/>
      <w:kern w:val="2"/>
      <w:sz w:val="21"/>
      <w:szCs w:val="24"/>
    </w:rPr>
  </w:style>
  <w:style w:type="paragraph" w:customStyle="1" w:styleId="37">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4626</Words>
  <Characters>4987</Characters>
  <Lines>48</Lines>
  <Paragraphs>13</Paragraphs>
  <TotalTime>2</TotalTime>
  <ScaleCrop>false</ScaleCrop>
  <LinksUpToDate>false</LinksUpToDate>
  <CharactersWithSpaces>5108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2024-12-25T08:16:00Z</dcterms:created>
  <dc:creator>张 礼莉</dc:creator>
  <cp:lastModifiedBy>phenwsq</cp:lastModifiedBy>
  <dcterms:modified xsi:type="dcterms:W3CDTF">2026-04-22T07:54:50Z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A7B7FCCB0AFA4691AD9A4AC44E2EF6A0_13</vt:lpwstr>
  </property>
  <property fmtid="{D5CDD505-2E9C-101B-9397-08002B2CF9AE}" pid="4" name="KSOTemplateDocerSaveRecord">
    <vt:lpwstr>eyJoZGlkIjoiZDYyMjY1Y2JkMGZlOGQxMmY1MDRjNzEzNmY0OTY1YTIiLCJ1c2VySWQiOiI3MTA5NjcxMjQifQ==</vt:lpwstr>
  </property>
</Properties>
</file>